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终端检测器 技术规格书</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320165" cy="2560955"/>
                  <wp:effectExtent l="0" t="0" r="13335" b="10795"/>
                  <wp:docPr id="25" name="图片 25" descr="终端检测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终端检测器"/>
                          <pic:cNvPicPr>
                            <a:picLocks noChangeAspect="1"/>
                          </pic:cNvPicPr>
                        </pic:nvPicPr>
                        <pic:blipFill>
                          <a:blip r:embed="rId6"/>
                          <a:srcRect l="23326" t="27861" r="41849" b="10302"/>
                          <a:stretch>
                            <a:fillRect/>
                          </a:stretch>
                        </pic:blipFill>
                        <pic:spPr>
                          <a:xfrm>
                            <a:off x="0" y="0"/>
                            <a:ext cx="1320165" cy="2560955"/>
                          </a:xfrm>
                          <a:prstGeom prst="rect">
                            <a:avLst/>
                          </a:prstGeom>
                        </pic:spPr>
                      </pic:pic>
                    </a:graphicData>
                  </a:graphic>
                </wp:inline>
              </w:drawing>
            </w:r>
          </w:p>
        </w:tc>
      </w:tr>
    </w:tbl>
    <w:p>
      <w:pPr>
        <w:pStyle w:val="35"/>
        <w:bidi w:val="0"/>
      </w:pPr>
      <w:bookmarkStart w:id="38" w:name="_GoBack"/>
      <w:bookmarkEnd w:id="38"/>
      <w:r>
        <w:rPr>
          <w:rFonts w:hint="eastAsia"/>
          <w:lang w:val="en-US" w:eastAsia="zh-CN"/>
        </w:rPr>
        <w:t>终端检测器</w:t>
      </w:r>
      <w:r>
        <w:t>用途</w:t>
      </w:r>
    </w:p>
    <w:p>
      <w:pPr>
        <w:pStyle w:val="46"/>
        <w:bidi w:val="0"/>
      </w:pPr>
      <w:r>
        <w:t>产品用于设备维护人员对实兵对抗训练系统终端进行检测和设置。</w:t>
      </w:r>
    </w:p>
    <w:p>
      <w:pPr>
        <w:pStyle w:val="35"/>
        <w:bidi w:val="0"/>
      </w:pPr>
      <w:r>
        <w:rPr>
          <w:rFonts w:hint="eastAsia"/>
          <w:lang w:val="en-US" w:eastAsia="zh-CN"/>
        </w:rPr>
        <w:t>终端检测器</w:t>
      </w:r>
      <w:r>
        <w:t>组成</w:t>
      </w:r>
    </w:p>
    <w:p>
      <w:pPr>
        <w:pStyle w:val="46"/>
        <w:bidi w:val="0"/>
      </w:pPr>
      <w:bookmarkStart w:id="0" w:name="_Toc19102411"/>
      <w:bookmarkStart w:id="1" w:name="_Toc22379507"/>
      <w:r>
        <w:t>产品主要由控制主机、携行包、电池等组成。如图所示。</w:t>
      </w:r>
    </w:p>
    <w:p>
      <w:pPr>
        <w:pStyle w:val="46"/>
        <w:bidi w:val="0"/>
        <w:jc w:val="center"/>
      </w:pPr>
      <w:r>
        <w:rPr>
          <w:rFonts w:ascii="Calibri" w:hAnsi="Calibri" w:cs="Calibri"/>
        </w:rPr>
        <w:object>
          <v:shape id="_x0000_i1025" o:spt="75" type="#_x0000_t75" style="height:203.1pt;width:138.6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35"/>
        <w:bidi w:val="0"/>
      </w:pPr>
      <w:r>
        <w:rPr>
          <w:rFonts w:hint="eastAsia"/>
          <w:lang w:val="en-US" w:eastAsia="zh-CN"/>
        </w:rPr>
        <w:t>终端检测器功能</w:t>
      </w:r>
    </w:p>
    <w:p>
      <w:pPr>
        <w:pStyle w:val="37"/>
        <w:bidi w:val="0"/>
      </w:pPr>
      <w:bookmarkStart w:id="2" w:name="_Toc19101608"/>
      <w:bookmarkStart w:id="3" w:name="_Toc22374973"/>
      <w:r>
        <w:t>裁决功能</w:t>
      </w:r>
      <w:bookmarkEnd w:id="2"/>
      <w:bookmarkEnd w:id="3"/>
    </w:p>
    <w:p>
      <w:pPr>
        <w:pStyle w:val="46"/>
        <w:bidi w:val="0"/>
        <w:rPr>
          <w:rFonts w:ascii="Calibri" w:hAnsi="Calibri" w:cs="Calibri"/>
        </w:rPr>
      </w:pPr>
      <w:r>
        <w:t>能对实兵对抗训练系统各类终端进行</w:t>
      </w:r>
      <w:r>
        <w:rPr>
          <w:rFonts w:hint="eastAsia"/>
        </w:rPr>
        <w:t>裁决</w:t>
      </w:r>
      <w:r>
        <w:t>，有效作用距离</w:t>
      </w:r>
      <w:r>
        <w:rPr>
          <w:rFonts w:hint="eastAsia"/>
          <w:lang w:eastAsia="zh-CN"/>
        </w:rPr>
        <w:t>：</w:t>
      </w:r>
      <w:r>
        <w:t>50cm。</w:t>
      </w:r>
    </w:p>
    <w:p>
      <w:pPr>
        <w:pStyle w:val="37"/>
        <w:bidi w:val="0"/>
        <w:rPr>
          <w:szCs w:val="22"/>
        </w:rPr>
      </w:pPr>
      <w:bookmarkStart w:id="4" w:name="_Toc22374974"/>
      <w:bookmarkStart w:id="5" w:name="_Toc19101609"/>
      <w:r>
        <w:rPr>
          <w:szCs w:val="22"/>
        </w:rPr>
        <w:t>激光检测</w:t>
      </w:r>
      <w:bookmarkEnd w:id="4"/>
      <w:bookmarkEnd w:id="5"/>
    </w:p>
    <w:p>
      <w:pPr>
        <w:pStyle w:val="57"/>
        <w:spacing w:line="420" w:lineRule="exact"/>
        <w:ind w:right="-105"/>
        <w:rPr>
          <w:rFonts w:ascii="仿宋_GB2312" w:hAnsi="仿宋_GB2312" w:eastAsia="仿宋_GB2312" w:cstheme="minorBidi"/>
          <w:spacing w:val="0"/>
          <w:kern w:val="0"/>
          <w:sz w:val="28"/>
          <w:szCs w:val="22"/>
        </w:rPr>
      </w:pPr>
      <w:r>
        <w:rPr>
          <w:rFonts w:ascii="仿宋_GB2312" w:hAnsi="仿宋_GB2312" w:eastAsia="仿宋_GB2312" w:cstheme="minorBidi"/>
          <w:spacing w:val="0"/>
          <w:kern w:val="0"/>
          <w:sz w:val="28"/>
          <w:szCs w:val="22"/>
        </w:rPr>
        <w:t>能接收实兵对抗训练系统各类直瞄终端发射的激光，并显示激光编码信息。</w:t>
      </w:r>
    </w:p>
    <w:p>
      <w:pPr>
        <w:pStyle w:val="37"/>
        <w:bidi w:val="0"/>
        <w:rPr>
          <w:szCs w:val="22"/>
        </w:rPr>
      </w:pPr>
      <w:bookmarkStart w:id="6" w:name="_Toc19101610"/>
      <w:bookmarkStart w:id="7" w:name="_Toc22374975"/>
      <w:r>
        <w:rPr>
          <w:szCs w:val="22"/>
        </w:rPr>
        <w:t>参数设置</w:t>
      </w:r>
      <w:bookmarkEnd w:id="6"/>
      <w:bookmarkEnd w:id="7"/>
    </w:p>
    <w:p>
      <w:pPr>
        <w:pStyle w:val="57"/>
        <w:spacing w:line="420" w:lineRule="exact"/>
        <w:ind w:right="-105"/>
        <w:rPr>
          <w:rFonts w:ascii="仿宋_GB2312" w:hAnsi="仿宋_GB2312" w:eastAsia="仿宋_GB2312" w:cstheme="minorBidi"/>
          <w:spacing w:val="0"/>
          <w:kern w:val="0"/>
          <w:sz w:val="28"/>
          <w:szCs w:val="22"/>
        </w:rPr>
      </w:pPr>
      <w:r>
        <w:rPr>
          <w:rFonts w:ascii="仿宋_GB2312" w:hAnsi="仿宋_GB2312" w:eastAsia="仿宋_GB2312" w:cstheme="minorBidi"/>
          <w:spacing w:val="0"/>
          <w:kern w:val="0"/>
          <w:sz w:val="28"/>
          <w:szCs w:val="22"/>
        </w:rPr>
        <w:t>能对实兵对抗训练系统各类终端进行属性、蓝牙地址、LTE地址等参数设置。</w:t>
      </w:r>
    </w:p>
    <w:p>
      <w:pPr>
        <w:pStyle w:val="37"/>
        <w:bidi w:val="0"/>
        <w:rPr>
          <w:szCs w:val="22"/>
        </w:rPr>
      </w:pPr>
      <w:bookmarkStart w:id="8" w:name="_Toc22374976"/>
      <w:bookmarkStart w:id="9" w:name="_Toc19101611"/>
      <w:r>
        <w:rPr>
          <w:szCs w:val="22"/>
        </w:rPr>
        <w:t>信息采集</w:t>
      </w:r>
      <w:bookmarkEnd w:id="8"/>
      <w:bookmarkEnd w:id="9"/>
    </w:p>
    <w:p>
      <w:pPr>
        <w:pStyle w:val="57"/>
        <w:spacing w:line="420" w:lineRule="exact"/>
        <w:ind w:right="-105"/>
        <w:rPr>
          <w:rFonts w:ascii="仿宋_GB2312" w:hAnsi="仿宋_GB2312" w:eastAsia="仿宋_GB2312" w:cstheme="minorBidi"/>
          <w:spacing w:val="0"/>
          <w:kern w:val="0"/>
          <w:sz w:val="28"/>
          <w:szCs w:val="22"/>
        </w:rPr>
      </w:pPr>
      <w:r>
        <w:rPr>
          <w:rFonts w:ascii="仿宋_GB2312" w:hAnsi="仿宋_GB2312" w:eastAsia="仿宋_GB2312" w:cstheme="minorBidi"/>
          <w:spacing w:val="0"/>
          <w:kern w:val="0"/>
          <w:sz w:val="28"/>
          <w:szCs w:val="22"/>
        </w:rPr>
        <w:t>产品应能对实兵对抗训练系统各类终端进行属性、LTE信息、Zigbee功能状态等信息进行采集。</w:t>
      </w:r>
    </w:p>
    <w:p>
      <w:pPr>
        <w:pStyle w:val="37"/>
        <w:bidi w:val="0"/>
        <w:rPr>
          <w:szCs w:val="22"/>
        </w:rPr>
      </w:pPr>
      <w:bookmarkStart w:id="10" w:name="_Toc22374977"/>
      <w:bookmarkStart w:id="11" w:name="_Toc19101612"/>
      <w:r>
        <w:rPr>
          <w:szCs w:val="22"/>
        </w:rPr>
        <w:t>状态显示</w:t>
      </w:r>
      <w:bookmarkEnd w:id="10"/>
      <w:bookmarkEnd w:id="11"/>
    </w:p>
    <w:p>
      <w:pPr>
        <w:pStyle w:val="40"/>
        <w:numPr>
          <w:ilvl w:val="0"/>
          <w:numId w:val="9"/>
        </w:numPr>
        <w:bidi w:val="0"/>
      </w:pPr>
      <w:r>
        <w:t>具备状态信息实时显示功能，状态信息应包括身份信息、电池电量等；</w:t>
      </w:r>
    </w:p>
    <w:p>
      <w:pPr>
        <w:pStyle w:val="40"/>
        <w:numPr>
          <w:ilvl w:val="0"/>
          <w:numId w:val="9"/>
        </w:numPr>
        <w:bidi w:val="0"/>
      </w:pPr>
      <w:r>
        <w:t>产品显示屏显示尺寸</w:t>
      </w:r>
      <w:r>
        <w:rPr>
          <w:rFonts w:hint="eastAsia"/>
          <w:lang w:eastAsia="zh-CN"/>
        </w:rPr>
        <w:t>：</w:t>
      </w:r>
      <w:r>
        <w:t>1.54英寸，分辨率</w:t>
      </w:r>
      <w:r>
        <w:rPr>
          <w:rFonts w:hint="eastAsia"/>
          <w:lang w:eastAsia="zh-CN"/>
        </w:rPr>
        <w:t>：</w:t>
      </w:r>
      <w:r>
        <w:t>128*64像素。</w:t>
      </w:r>
    </w:p>
    <w:p>
      <w:pPr>
        <w:pStyle w:val="37"/>
        <w:bidi w:val="0"/>
        <w:rPr>
          <w:szCs w:val="22"/>
        </w:rPr>
      </w:pPr>
      <w:bookmarkStart w:id="12" w:name="_Toc19101613"/>
      <w:bookmarkStart w:id="13" w:name="_Toc22374978"/>
      <w:r>
        <w:rPr>
          <w:szCs w:val="22"/>
        </w:rPr>
        <w:t>重量</w:t>
      </w:r>
      <w:bookmarkEnd w:id="12"/>
      <w:bookmarkEnd w:id="13"/>
    </w:p>
    <w:p>
      <w:pPr>
        <w:pStyle w:val="57"/>
        <w:spacing w:line="420" w:lineRule="exact"/>
        <w:ind w:right="-105"/>
        <w:rPr>
          <w:rFonts w:ascii="仿宋_GB2312" w:hAnsi="仿宋_GB2312" w:eastAsia="仿宋_GB2312" w:cstheme="minorBidi"/>
          <w:spacing w:val="0"/>
          <w:kern w:val="0"/>
          <w:sz w:val="28"/>
          <w:szCs w:val="22"/>
        </w:rPr>
      </w:pPr>
      <w:r>
        <w:rPr>
          <w:rFonts w:ascii="仿宋_GB2312" w:hAnsi="仿宋_GB2312" w:eastAsia="仿宋_GB2312" w:cstheme="minorBidi"/>
          <w:spacing w:val="0"/>
          <w:kern w:val="0"/>
          <w:sz w:val="28"/>
          <w:szCs w:val="22"/>
        </w:rPr>
        <w:t>控制主机重量：0.5kg（单组电池）。</w:t>
      </w:r>
    </w:p>
    <w:p>
      <w:pPr>
        <w:pStyle w:val="37"/>
        <w:bidi w:val="0"/>
        <w:rPr>
          <w:szCs w:val="22"/>
        </w:rPr>
      </w:pPr>
      <w:bookmarkStart w:id="14" w:name="_Toc22374979"/>
      <w:bookmarkStart w:id="15" w:name="_Toc19101614"/>
      <w:r>
        <w:rPr>
          <w:szCs w:val="22"/>
        </w:rPr>
        <w:t>尺寸</w:t>
      </w:r>
      <w:bookmarkEnd w:id="14"/>
      <w:bookmarkEnd w:id="15"/>
    </w:p>
    <w:p>
      <w:pPr>
        <w:pStyle w:val="57"/>
        <w:spacing w:line="420" w:lineRule="exact"/>
        <w:ind w:right="-105"/>
        <w:rPr>
          <w:rFonts w:ascii="仿宋_GB2312" w:hAnsi="仿宋_GB2312" w:eastAsia="仿宋_GB2312" w:cstheme="minorBidi"/>
          <w:spacing w:val="0"/>
          <w:kern w:val="0"/>
          <w:sz w:val="28"/>
          <w:szCs w:val="22"/>
        </w:rPr>
      </w:pPr>
      <w:r>
        <w:rPr>
          <w:rFonts w:ascii="仿宋_GB2312" w:hAnsi="仿宋_GB2312" w:eastAsia="仿宋_GB2312" w:cstheme="minorBidi"/>
          <w:spacing w:val="0"/>
          <w:kern w:val="0"/>
          <w:sz w:val="28"/>
          <w:szCs w:val="22"/>
        </w:rPr>
        <w:t>控制主机尺寸：长×宽×高160mm×80mm×25mm。</w:t>
      </w:r>
    </w:p>
    <w:p>
      <w:pPr>
        <w:pStyle w:val="37"/>
        <w:bidi w:val="0"/>
        <w:rPr>
          <w:szCs w:val="22"/>
        </w:rPr>
      </w:pPr>
      <w:bookmarkStart w:id="16" w:name="_Toc22374980"/>
      <w:bookmarkStart w:id="17" w:name="_Toc19101615"/>
      <w:r>
        <w:rPr>
          <w:szCs w:val="22"/>
        </w:rPr>
        <w:t>辅助管理</w:t>
      </w:r>
      <w:bookmarkEnd w:id="16"/>
      <w:bookmarkEnd w:id="17"/>
    </w:p>
    <w:p>
      <w:pPr>
        <w:pStyle w:val="40"/>
        <w:numPr>
          <w:ilvl w:val="0"/>
          <w:numId w:val="10"/>
        </w:numPr>
        <w:bidi w:val="0"/>
      </w:pPr>
      <w:r>
        <w:t>配置用于器材管理的无源RFID电子标签，标签内应预置产品名称、产品编号、生产单位代字、所属单位代字等基本信息，标签类型和工作频率等参数应与配套的器材信息化管理系统读写设备相一致；</w:t>
      </w:r>
    </w:p>
    <w:p>
      <w:pPr>
        <w:pStyle w:val="40"/>
        <w:numPr>
          <w:ilvl w:val="0"/>
          <w:numId w:val="10"/>
        </w:numPr>
        <w:bidi w:val="0"/>
      </w:pPr>
      <w:r>
        <w:t>产品在包装状态下通过配套的器材信息化管理系统出入库时，系统能读取RFID储存的相关信息。</w:t>
      </w:r>
    </w:p>
    <w:p>
      <w:pPr>
        <w:pStyle w:val="35"/>
        <w:bidi w:val="0"/>
      </w:pPr>
      <w:bookmarkStart w:id="18" w:name="_Toc8723463"/>
      <w:bookmarkStart w:id="19" w:name="_Toc22374981"/>
      <w:bookmarkStart w:id="20" w:name="_Toc19101616"/>
      <w:r>
        <w:t>接口</w:t>
      </w:r>
      <w:bookmarkEnd w:id="18"/>
      <w:bookmarkEnd w:id="19"/>
      <w:bookmarkEnd w:id="20"/>
    </w:p>
    <w:p>
      <w:pPr>
        <w:pStyle w:val="37"/>
        <w:bidi w:val="0"/>
      </w:pPr>
      <w:bookmarkStart w:id="21" w:name="_Toc22374982"/>
      <w:bookmarkStart w:id="22" w:name="_Toc9002480"/>
      <w:bookmarkStart w:id="23" w:name="_Toc19101617"/>
      <w:r>
        <w:t>激光光学接口</w:t>
      </w:r>
      <w:bookmarkEnd w:id="21"/>
      <w:bookmarkEnd w:id="22"/>
      <w:bookmarkEnd w:id="23"/>
    </w:p>
    <w:p>
      <w:pPr>
        <w:pStyle w:val="46"/>
        <w:bidi w:val="0"/>
      </w:pPr>
      <w:r>
        <w:t>产品接收探头的激光光学特性、编解码标准符合LSJT-JKXY-01《陆军实兵交战系统红外激光光学接口规范》的要求。</w:t>
      </w:r>
    </w:p>
    <w:p>
      <w:pPr>
        <w:pStyle w:val="37"/>
        <w:bidi w:val="0"/>
      </w:pPr>
      <w:bookmarkStart w:id="24" w:name="_Toc19101618"/>
      <w:bookmarkStart w:id="25" w:name="_Toc22374983"/>
      <w:r>
        <w:t>信息交互接口</w:t>
      </w:r>
      <w:bookmarkEnd w:id="24"/>
      <w:bookmarkEnd w:id="25"/>
    </w:p>
    <w:p>
      <w:pPr>
        <w:pStyle w:val="46"/>
        <w:bidi w:val="0"/>
      </w:pPr>
      <w:r>
        <w:t>产品与各类模拟终端无线交互接口和协议满足LSJT-JKXY-02《陆军实兵交战系统红外短距数据通信接口规范》和LSJT-JKXY-04《陆军实兵交战系统短距无线通信接口规范》中相关指令要求。</w:t>
      </w:r>
    </w:p>
    <w:bookmarkEnd w:id="0"/>
    <w:bookmarkEnd w:id="1"/>
    <w:p>
      <w:pPr>
        <w:pStyle w:val="35"/>
        <w:bidi w:val="0"/>
      </w:pPr>
      <w:bookmarkStart w:id="26" w:name="_Toc22379511"/>
      <w:bookmarkStart w:id="27"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1"/>
        </w:numPr>
        <w:bidi w:val="0"/>
      </w:pPr>
      <w:r>
        <w:t>具有开机自检功能，检测内容包括火工品安装检测、定位状态检测等</w:t>
      </w:r>
    </w:p>
    <w:p>
      <w:pPr>
        <w:numPr>
          <w:ilvl w:val="0"/>
          <w:numId w:val="11"/>
        </w:numPr>
        <w:bidi w:val="0"/>
        <w:ind w:left="420" w:leftChars="0" w:hanging="420" w:firstLineChars="0"/>
      </w:pPr>
      <w:r>
        <w:rPr>
          <w:rFonts w:hint="eastAsia"/>
        </w:rPr>
        <w:t>产品能根据故障检测设备的测试指令自动完成故障定位输出，虚警率2%；</w:t>
      </w:r>
    </w:p>
    <w:p>
      <w:pPr>
        <w:numPr>
          <w:ilvl w:val="0"/>
          <w:numId w:val="1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1"/>
        </w:numPr>
        <w:bidi w:val="0"/>
        <w:ind w:left="420" w:leftChars="0" w:hanging="420" w:firstLineChars="0"/>
      </w:pPr>
      <w:r>
        <w:rPr>
          <w:rFonts w:hint="eastAsia"/>
        </w:rPr>
        <w:t>产品符合相应人眼危害距离要求；</w:t>
      </w:r>
    </w:p>
    <w:p>
      <w:pPr>
        <w:numPr>
          <w:ilvl w:val="0"/>
          <w:numId w:val="11"/>
        </w:numPr>
        <w:bidi w:val="0"/>
        <w:ind w:left="420" w:leftChars="0" w:hanging="420" w:firstLineChars="0"/>
      </w:pPr>
      <w:r>
        <w:rPr>
          <w:rFonts w:hint="eastAsia"/>
        </w:rPr>
        <w:t>产品火工品安装处有安全警示标志和操作规程；</w:t>
      </w:r>
    </w:p>
    <w:p>
      <w:pPr>
        <w:numPr>
          <w:ilvl w:val="0"/>
          <w:numId w:val="1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bookmarkEnd w:id="26"/>
      <w:bookmarkEnd w:id="27"/>
      <w:bookmarkStart w:id="28" w:name="_Toc8916849"/>
      <w:bookmarkStart w:id="29" w:name="_Toc19102429"/>
      <w:bookmarkStart w:id="30" w:name="_Toc22379525"/>
    </w:p>
    <w:p>
      <w:pPr>
        <w:pStyle w:val="35"/>
        <w:bidi w:val="0"/>
      </w:pPr>
      <w:r>
        <w:t>电磁兼容性要求</w:t>
      </w:r>
      <w:bookmarkEnd w:id="28"/>
      <w:bookmarkEnd w:id="29"/>
      <w:bookmarkEnd w:id="30"/>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2"/>
        </w:numPr>
        <w:bidi w:val="0"/>
      </w:pPr>
      <w:r>
        <w:t>RS103电场辐射敏感度（10kHz～40GHz）：10V/m；</w:t>
      </w:r>
    </w:p>
    <w:p>
      <w:pPr>
        <w:pStyle w:val="40"/>
        <w:numPr>
          <w:ilvl w:val="0"/>
          <w:numId w:val="12"/>
        </w:numPr>
        <w:bidi w:val="0"/>
      </w:pPr>
      <w:r>
        <w:t>CS114电缆束注入传导敏感度（4kHz～400MHz）：曲线二；</w:t>
      </w:r>
    </w:p>
    <w:p>
      <w:pPr>
        <w:pStyle w:val="40"/>
        <w:numPr>
          <w:ilvl w:val="0"/>
          <w:numId w:val="12"/>
        </w:numPr>
        <w:bidi w:val="0"/>
      </w:pPr>
      <w:r>
        <w:t>CS115电缆束注入脉冲激励传导敏感度：5A；</w:t>
      </w:r>
    </w:p>
    <w:p>
      <w:pPr>
        <w:pStyle w:val="40"/>
        <w:numPr>
          <w:ilvl w:val="0"/>
          <w:numId w:val="12"/>
        </w:numPr>
        <w:bidi w:val="0"/>
      </w:pPr>
      <w:r>
        <w:t>CS116电缆和电源线阻尼正弦瞬态传导敏感度（10kHz～100MHz）：标准限值；</w:t>
      </w:r>
    </w:p>
    <w:p>
      <w:pPr>
        <w:pStyle w:val="40"/>
        <w:numPr>
          <w:ilvl w:val="0"/>
          <w:numId w:val="12"/>
        </w:numPr>
        <w:bidi w:val="0"/>
      </w:pPr>
      <w:r>
        <w:t>RE102电场辐射发射（10kHz～18GHz）：标准限值+20dB。</w:t>
      </w:r>
    </w:p>
    <w:p>
      <w:pPr>
        <w:pStyle w:val="35"/>
        <w:bidi w:val="0"/>
      </w:pPr>
      <w:bookmarkStart w:id="31" w:name="_Toc8723475"/>
      <w:bookmarkStart w:id="32" w:name="_Toc20341456"/>
      <w:bookmarkStart w:id="33" w:name="_Toc22376172"/>
      <w:r>
        <w:t>供电</w:t>
      </w:r>
      <w:bookmarkEnd w:id="31"/>
      <w:bookmarkEnd w:id="32"/>
      <w:bookmarkEnd w:id="33"/>
    </w:p>
    <w:p>
      <w:pPr>
        <w:pStyle w:val="40"/>
        <w:numPr>
          <w:ilvl w:val="0"/>
          <w:numId w:val="13"/>
        </w:numPr>
        <w:bidi w:val="0"/>
      </w:pPr>
      <w:r>
        <w:t>采用锂电池供电，规格参数符合GJB916B-2011《军用锂电池产品规范》的要求；</w:t>
      </w:r>
    </w:p>
    <w:p>
      <w:pPr>
        <w:pStyle w:val="40"/>
        <w:numPr>
          <w:ilvl w:val="0"/>
          <w:numId w:val="13"/>
        </w:numPr>
        <w:bidi w:val="0"/>
      </w:pPr>
      <w:r>
        <w:t>电池容量满足连续工作时间</w:t>
      </w:r>
      <w:r>
        <w:rPr>
          <w:rFonts w:hint="eastAsia"/>
          <w:lang w:eastAsia="zh-CN"/>
        </w:rPr>
        <w:t>：</w:t>
      </w:r>
      <w:r>
        <w:t>12h（单组电池）要求；</w:t>
      </w:r>
    </w:p>
    <w:p>
      <w:pPr>
        <w:pStyle w:val="40"/>
        <w:numPr>
          <w:ilvl w:val="0"/>
          <w:numId w:val="13"/>
        </w:numPr>
        <w:bidi w:val="0"/>
      </w:pPr>
      <w:r>
        <w:t>单组电池充电时间：6h；</w:t>
      </w:r>
    </w:p>
    <w:p>
      <w:pPr>
        <w:pStyle w:val="40"/>
        <w:numPr>
          <w:ilvl w:val="0"/>
          <w:numId w:val="13"/>
        </w:numPr>
        <w:bidi w:val="0"/>
      </w:pPr>
      <w:r>
        <w:t>产品提供1组备用电池。</w:t>
      </w:r>
    </w:p>
    <w:p>
      <w:pPr>
        <w:pStyle w:val="35"/>
        <w:bidi w:val="0"/>
      </w:pPr>
      <w:bookmarkStart w:id="34" w:name="_Toc22376173"/>
      <w:bookmarkStart w:id="35" w:name="_Toc20341457"/>
      <w:r>
        <w:t>安装使用</w:t>
      </w:r>
      <w:bookmarkEnd w:id="34"/>
      <w:bookmarkEnd w:id="35"/>
    </w:p>
    <w:p>
      <w:pPr>
        <w:pStyle w:val="40"/>
        <w:numPr>
          <w:ilvl w:val="0"/>
          <w:numId w:val="14"/>
        </w:numPr>
        <w:bidi w:val="0"/>
      </w:pPr>
      <w:bookmarkStart w:id="36" w:name="_Toc22379534"/>
      <w:bookmarkStart w:id="37" w:name="_Toc19102438"/>
      <w:r>
        <w:t>为手持设备，开机即可使用；</w:t>
      </w:r>
    </w:p>
    <w:p>
      <w:pPr>
        <w:pStyle w:val="40"/>
        <w:numPr>
          <w:ilvl w:val="0"/>
          <w:numId w:val="14"/>
        </w:numPr>
        <w:bidi w:val="0"/>
      </w:pPr>
      <w:r>
        <w:t>配套携行包，可方便调理员外场携带。</w:t>
      </w:r>
    </w:p>
    <w:p>
      <w:pPr>
        <w:pStyle w:val="35"/>
        <w:bidi w:val="0"/>
      </w:pPr>
      <w:r>
        <w:t>成套性</w:t>
      </w:r>
      <w:bookmarkEnd w:id="36"/>
      <w:bookmarkEnd w:id="37"/>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4"/>
        <w:gridCol w:w="2339"/>
        <w:gridCol w:w="662"/>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携行包</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1A3341F8"/>
    <w:multiLevelType w:val="singleLevel"/>
    <w:tmpl w:val="1A3341F8"/>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3FD22E60"/>
    <w:multiLevelType w:val="singleLevel"/>
    <w:tmpl w:val="3FD22E60"/>
    <w:lvl w:ilvl="0" w:tentative="0">
      <w:start w:val="1"/>
      <w:numFmt w:val="lowerLetter"/>
      <w:lvlText w:val="%1)"/>
      <w:lvlJc w:val="left"/>
      <w:pPr>
        <w:tabs>
          <w:tab w:val="left" w:pos="800"/>
        </w:tabs>
        <w:ind w:left="800" w:hanging="400"/>
      </w:p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B896113"/>
    <w:multiLevelType w:val="singleLevel"/>
    <w:tmpl w:val="5B896113"/>
    <w:lvl w:ilvl="0" w:tentative="0">
      <w:start w:val="1"/>
      <w:numFmt w:val="lowerLetter"/>
      <w:lvlText w:val="%1)"/>
      <w:lvlJc w:val="left"/>
      <w:pPr>
        <w:tabs>
          <w:tab w:val="left" w:pos="800"/>
        </w:tabs>
        <w:ind w:left="800" w:hanging="400"/>
      </w:p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12"/>
  </w:num>
  <w:num w:numId="8">
    <w:abstractNumId w:val="2"/>
  </w:num>
  <w:num w:numId="9">
    <w:abstractNumId w:val="3"/>
  </w:num>
  <w:num w:numId="10">
    <w:abstractNumId w:val="13"/>
  </w:num>
  <w:num w:numId="11">
    <w:abstractNumId w:val="4"/>
  </w:num>
  <w:num w:numId="12">
    <w:abstractNumId w:val="11"/>
    <w:lvlOverride w:ilvl="0">
      <w:startOverride w:val="1"/>
    </w:lvlOverride>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4867A2"/>
    <w:rsid w:val="019E35C9"/>
    <w:rsid w:val="02487010"/>
    <w:rsid w:val="0322532F"/>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EE63106"/>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88E4DC2"/>
    <w:rsid w:val="2A3F5231"/>
    <w:rsid w:val="2BB30F0F"/>
    <w:rsid w:val="2C2836AF"/>
    <w:rsid w:val="2CB93993"/>
    <w:rsid w:val="2E49263F"/>
    <w:rsid w:val="2E847A59"/>
    <w:rsid w:val="2E8E53DD"/>
    <w:rsid w:val="2EE16950"/>
    <w:rsid w:val="2F255FE5"/>
    <w:rsid w:val="30273F6A"/>
    <w:rsid w:val="31C44B17"/>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3FE20B27"/>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2D10D92"/>
    <w:rsid w:val="73FD78A0"/>
    <w:rsid w:val="755D5C19"/>
    <w:rsid w:val="759C7433"/>
    <w:rsid w:val="759F35B5"/>
    <w:rsid w:val="762748BE"/>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