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防步兵地雷模拟终端 技术规格书</w:t>
      </w:r>
    </w:p>
    <w:tbl>
      <w:tblPr>
        <w:tblStyle w:val="2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5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56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drawing>
                <wp:inline distT="0" distB="0" distL="114300" distR="114300">
                  <wp:extent cx="3023235" cy="2130425"/>
                  <wp:effectExtent l="0" t="0" r="5715" b="3175"/>
                  <wp:docPr id="50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235" cy="213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drawing>
                <wp:inline distT="0" distB="0" distL="114300" distR="114300">
                  <wp:extent cx="2171700" cy="2195830"/>
                  <wp:effectExtent l="0" t="0" r="0" b="13970"/>
                  <wp:docPr id="51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9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5"/>
        <w:bidi w:val="0"/>
      </w:pPr>
      <w:r>
        <w:rPr>
          <w:rFonts w:hint="eastAsia"/>
          <w:lang w:val="en-US" w:eastAsia="zh-CN"/>
        </w:rPr>
        <w:t>防步兵地雷模拟终端</w:t>
      </w:r>
      <w:r>
        <w:t>用途</w:t>
      </w:r>
    </w:p>
    <w:p>
      <w:pPr>
        <w:pStyle w:val="47"/>
        <w:bidi w:val="0"/>
      </w:pPr>
      <w:r>
        <w:t>组织开展实兵训练演习时，用于模拟我军压发式防步兵地雷的爆炸杀伤效能。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防步兵地雷模拟终端</w:t>
      </w:r>
      <w:r>
        <w:t>组成</w:t>
      </w:r>
    </w:p>
    <w:p>
      <w:pPr>
        <w:pStyle w:val="47"/>
        <w:bidi w:val="0"/>
      </w:pPr>
      <w:bookmarkStart w:id="0" w:name="_Toc22379507"/>
      <w:bookmarkStart w:id="1" w:name="_Toc19102411"/>
      <w:r>
        <w:t>产品主要由控制主机、防护盖等组成。如下图所示。</w:t>
      </w:r>
    </w:p>
    <w:p>
      <w:pPr>
        <w:pStyle w:val="47"/>
        <w:bidi w:val="0"/>
        <w:jc w:val="center"/>
      </w:pPr>
      <w:r>
        <w:rPr>
          <w:rFonts w:ascii="Calibri" w:hAnsi="Calibri" w:cs="Calibri"/>
        </w:rPr>
        <w:object>
          <v:shape id="_x0000_i1025" o:spt="75" type="#_x0000_t75" style="height:195pt;width:14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>
      <w:pPr>
        <w:pStyle w:val="35"/>
        <w:bidi w:val="0"/>
      </w:pPr>
      <w:r>
        <w:rPr>
          <w:rFonts w:hint="eastAsia"/>
          <w:lang w:val="en-US" w:eastAsia="zh-CN"/>
        </w:rPr>
        <w:t>防步兵地雷模拟终端功能</w:t>
      </w:r>
    </w:p>
    <w:p>
      <w:pPr>
        <w:pStyle w:val="37"/>
        <w:bidi w:val="0"/>
      </w:pPr>
      <w:bookmarkStart w:id="2" w:name="_Toc22375924"/>
      <w:bookmarkStart w:id="3" w:name="_Toc20341213"/>
      <w:r>
        <w:t>杀伤效能模拟</w:t>
      </w:r>
      <w:bookmarkEnd w:id="2"/>
      <w:bookmarkEnd w:id="3"/>
    </w:p>
    <w:p>
      <w:pPr>
        <w:pStyle w:val="47"/>
        <w:bidi w:val="0"/>
      </w:pPr>
      <w:r>
        <w:t>能够模拟压发式防步兵地雷对战场人员的杀伤效果，杀伤半径</w:t>
      </w:r>
      <w:r>
        <w:rPr>
          <w:rFonts w:hint="eastAsia"/>
          <w:lang w:eastAsia="zh-CN"/>
        </w:rPr>
        <w:t>：</w:t>
      </w:r>
      <w:r>
        <w:t>5米。</w:t>
      </w:r>
    </w:p>
    <w:p>
      <w:pPr>
        <w:pStyle w:val="37"/>
        <w:bidi w:val="0"/>
      </w:pPr>
      <w:bookmarkStart w:id="4" w:name="_Toc22375925"/>
      <w:bookmarkStart w:id="5" w:name="_Toc20341214"/>
      <w:r>
        <w:t>发射控制</w:t>
      </w:r>
      <w:bookmarkEnd w:id="4"/>
      <w:bookmarkEnd w:id="5"/>
    </w:p>
    <w:p>
      <w:pPr>
        <w:pStyle w:val="40"/>
        <w:numPr>
          <w:ilvl w:val="0"/>
          <w:numId w:val="9"/>
        </w:numPr>
        <w:bidi w:val="0"/>
      </w:pPr>
      <w:r>
        <w:rPr>
          <w:rFonts w:hint="eastAsia"/>
        </w:rPr>
        <w:t>能</w:t>
      </w:r>
      <w:r>
        <w:t>通过无线方式与工兵模拟终端连接，实现布、排雷操作模拟；</w:t>
      </w:r>
    </w:p>
    <w:p>
      <w:pPr>
        <w:pStyle w:val="40"/>
        <w:numPr>
          <w:ilvl w:val="0"/>
          <w:numId w:val="9"/>
        </w:numPr>
        <w:bidi w:val="0"/>
      </w:pPr>
      <w:r>
        <w:t>采用压力触发方式，触发压力</w:t>
      </w:r>
      <w:r>
        <w:rPr>
          <w:rFonts w:hint="eastAsia"/>
          <w:lang w:eastAsia="zh-CN"/>
        </w:rPr>
        <w:t>：</w:t>
      </w:r>
      <w:r>
        <w:t>10kg；</w:t>
      </w:r>
    </w:p>
    <w:p>
      <w:pPr>
        <w:pStyle w:val="40"/>
        <w:numPr>
          <w:ilvl w:val="0"/>
          <w:numId w:val="9"/>
        </w:numPr>
        <w:bidi w:val="0"/>
      </w:pPr>
      <w:r>
        <w:t>爆炸或被排除后，重新激活方可再次使用；</w:t>
      </w:r>
    </w:p>
    <w:p>
      <w:pPr>
        <w:pStyle w:val="40"/>
        <w:numPr>
          <w:ilvl w:val="0"/>
          <w:numId w:val="9"/>
        </w:numPr>
        <w:bidi w:val="0"/>
      </w:pPr>
      <w:r>
        <w:t>能接收破障车模拟终端的控制指令，实现排雷模拟。</w:t>
      </w:r>
    </w:p>
    <w:p>
      <w:pPr>
        <w:pStyle w:val="40"/>
        <w:numPr>
          <w:ilvl w:val="0"/>
          <w:numId w:val="9"/>
        </w:numPr>
        <w:bidi w:val="0"/>
      </w:pPr>
      <w:r>
        <w:rPr>
          <w:rFonts w:hint="eastAsia"/>
        </w:rPr>
        <w:t>产品触发方式与实装基本一致</w:t>
      </w:r>
      <w:bookmarkStart w:id="29" w:name="_GoBack"/>
      <w:bookmarkEnd w:id="29"/>
    </w:p>
    <w:p>
      <w:pPr>
        <w:pStyle w:val="37"/>
        <w:bidi w:val="0"/>
      </w:pPr>
      <w:bookmarkStart w:id="6" w:name="_Toc22375926"/>
      <w:bookmarkStart w:id="7" w:name="_Toc20341215"/>
      <w:r>
        <w:t>告警提示</w:t>
      </w:r>
      <w:bookmarkEnd w:id="6"/>
      <w:bookmarkEnd w:id="7"/>
    </w:p>
    <w:p>
      <w:pPr>
        <w:pStyle w:val="58"/>
        <w:spacing w:line="420" w:lineRule="exact"/>
        <w:ind w:right="-105"/>
        <w:rPr>
          <w:rFonts w:ascii="Calibri" w:hAnsi="Calibri" w:cs="Calibri"/>
        </w:rPr>
      </w:pPr>
      <w:r>
        <w:rPr>
          <w:rFonts w:ascii="Calibri" w:hAnsi="Calibri" w:cs="Calibri"/>
        </w:rPr>
        <w:t>能通过指示灯对供电状态等情况进行告警提示。</w:t>
      </w:r>
    </w:p>
    <w:p>
      <w:pPr>
        <w:pStyle w:val="37"/>
        <w:bidi w:val="0"/>
      </w:pPr>
      <w:bookmarkStart w:id="8" w:name="_Toc22375927"/>
      <w:bookmarkStart w:id="9" w:name="_Toc20341216"/>
      <w:r>
        <w:t>状态显示</w:t>
      </w:r>
      <w:bookmarkEnd w:id="8"/>
      <w:bookmarkEnd w:id="9"/>
    </w:p>
    <w:p>
      <w:pPr>
        <w:pStyle w:val="58"/>
        <w:spacing w:line="420" w:lineRule="exact"/>
        <w:ind w:right="-105"/>
        <w:rPr>
          <w:rFonts w:ascii="Calibri" w:hAnsi="Calibri" w:cs="Calibri"/>
        </w:rPr>
      </w:pPr>
      <w:r>
        <w:rPr>
          <w:rStyle w:val="52"/>
        </w:rPr>
        <w:t>能对自身状态信息进行实时显示，显示内容包括以下信息</w:t>
      </w:r>
      <w:r>
        <w:rPr>
          <w:rFonts w:ascii="Calibri" w:hAnsi="Calibri" w:cs="Calibri"/>
        </w:rPr>
        <w:t>：</w:t>
      </w:r>
    </w:p>
    <w:p>
      <w:pPr>
        <w:pStyle w:val="40"/>
        <w:numPr>
          <w:ilvl w:val="0"/>
          <w:numId w:val="10"/>
        </w:numPr>
        <w:bidi w:val="0"/>
      </w:pPr>
      <w:r>
        <w:t>当前工作状态（锁定/激活）；</w:t>
      </w:r>
    </w:p>
    <w:p>
      <w:pPr>
        <w:pStyle w:val="40"/>
        <w:numPr>
          <w:ilvl w:val="0"/>
          <w:numId w:val="10"/>
        </w:numPr>
        <w:bidi w:val="0"/>
      </w:pPr>
      <w:r>
        <w:t>欠电状态。</w:t>
      </w:r>
    </w:p>
    <w:p>
      <w:pPr>
        <w:pStyle w:val="37"/>
        <w:bidi w:val="0"/>
      </w:pPr>
      <w:bookmarkStart w:id="10" w:name="_Toc22375928"/>
      <w:bookmarkStart w:id="11" w:name="_Toc20341217"/>
      <w:r>
        <w:t>重量</w:t>
      </w:r>
      <w:bookmarkEnd w:id="10"/>
      <w:bookmarkEnd w:id="11"/>
    </w:p>
    <w:p>
      <w:pPr>
        <w:pStyle w:val="47"/>
        <w:bidi w:val="0"/>
      </w:pPr>
      <w:r>
        <w:t>控制主机重量：4kg（含防护盖）。</w:t>
      </w:r>
    </w:p>
    <w:p>
      <w:pPr>
        <w:pStyle w:val="35"/>
        <w:bidi w:val="0"/>
      </w:pPr>
      <w:bookmarkStart w:id="12" w:name="_Toc20341218"/>
      <w:bookmarkStart w:id="13" w:name="_Toc22375929"/>
      <w:r>
        <w:t>信息交互接口</w:t>
      </w:r>
      <w:bookmarkEnd w:id="12"/>
      <w:bookmarkEnd w:id="13"/>
    </w:p>
    <w:p>
      <w:pPr>
        <w:pStyle w:val="40"/>
        <w:numPr>
          <w:ilvl w:val="0"/>
          <w:numId w:val="11"/>
        </w:numPr>
        <w:bidi w:val="0"/>
      </w:pPr>
      <w:r>
        <w:t>产品与单兵人员、班组武器等模拟器材无线交互接口和协议满足LSJT-JKXY-04《陆军实兵交战系统短距无线通信接口规范》中相关指令要求；</w:t>
      </w:r>
    </w:p>
    <w:p>
      <w:pPr>
        <w:pStyle w:val="40"/>
        <w:numPr>
          <w:ilvl w:val="0"/>
          <w:numId w:val="11"/>
        </w:numPr>
        <w:bidi w:val="0"/>
      </w:pPr>
      <w:r>
        <w:t>产品与破障车模拟终端无线交互接口和协议满足LSJT-JKXY-04《陆军实兵交战系统短距无线通信接口规范》中相关指令要求。</w:t>
      </w:r>
    </w:p>
    <w:bookmarkEnd w:id="0"/>
    <w:bookmarkEnd w:id="1"/>
    <w:p>
      <w:pPr>
        <w:pStyle w:val="35"/>
        <w:bidi w:val="0"/>
      </w:pPr>
      <w:bookmarkStart w:id="14" w:name="_Toc22379511"/>
      <w:bookmarkStart w:id="15" w:name="_Toc19102415"/>
      <w:r>
        <w:rPr>
          <w:rFonts w:hint="eastAsia"/>
        </w:rPr>
        <w:t>六性</w:t>
      </w:r>
      <w:r>
        <w:rPr>
          <w:rFonts w:hint="eastAsia"/>
          <w:lang w:eastAsia="zh-CN"/>
        </w:rPr>
        <w:t>指标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可靠性</w:t>
      </w:r>
    </w:p>
    <w:p>
      <w:pPr>
        <w:bidi w:val="0"/>
        <w:ind w:firstLine="560" w:firstLineChars="200"/>
      </w:pPr>
      <w:r>
        <w:rPr>
          <w:rFonts w:hint="eastAsia"/>
        </w:rPr>
        <w:t>MTBF≥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00h。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维修性</w:t>
      </w:r>
    </w:p>
    <w:p>
      <w:pPr>
        <w:bidi w:val="0"/>
        <w:ind w:firstLine="560" w:firstLineChars="200"/>
      </w:pPr>
      <w:r>
        <w:rPr>
          <w:rFonts w:hint="eastAsia"/>
        </w:rPr>
        <w:t>MTTR≤30min。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保障性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各类模拟终端提供运输和存储包装箱，包装箱可通过人工方式装载。终端拆卸安装、调试校正、维护保养操作简单快捷，结合时紧密牢固。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提供设备维护与保养必须的工具</w:t>
      </w:r>
      <w:r>
        <w:rPr>
          <w:rFonts w:hint="eastAsia"/>
          <w:lang w:eastAsia="zh-CN"/>
        </w:rPr>
        <w:t>（维修专用工具比例</w:t>
      </w:r>
      <w:r>
        <w:rPr>
          <w:rFonts w:hint="eastAsia"/>
          <w:lang w:val="en-US" w:eastAsia="zh-CN"/>
        </w:rPr>
        <w:t>1%</w:t>
      </w:r>
      <w:r>
        <w:rPr>
          <w:rFonts w:hint="eastAsia"/>
          <w:lang w:eastAsia="zh-CN"/>
        </w:rPr>
        <w:t>）。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使用说明书中明确产品必要的维护措施和方法、充电维护周期等事项，同期提供系统软件和硬件设备使用教材，包括</w:t>
      </w:r>
      <w:r>
        <w:rPr>
          <w:rFonts w:hint="eastAsia"/>
          <w:lang w:eastAsia="zh-CN"/>
        </w:rPr>
        <w:t>用户手册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维护手册（包含</w:t>
      </w:r>
      <w:r>
        <w:rPr>
          <w:rFonts w:hint="eastAsia"/>
        </w:rPr>
        <w:t>现地级和基地级二级维修方案内容</w:t>
      </w:r>
      <w:r>
        <w:rPr>
          <w:rFonts w:hint="eastAsia"/>
          <w:lang w:eastAsia="zh-CN"/>
        </w:rPr>
        <w:t>，规模保障维护人员</w:t>
      </w:r>
      <w:r>
        <w:rPr>
          <w:rFonts w:hint="eastAsia"/>
          <w:lang w:val="en-US" w:eastAsia="zh-CN"/>
        </w:rPr>
        <w:t>15-20人</w:t>
      </w:r>
      <w:r>
        <w:rPr>
          <w:rFonts w:hint="eastAsia"/>
          <w:lang w:eastAsia="zh-CN"/>
        </w:rPr>
        <w:t>），及产品合格证、装箱清单、履历表</w:t>
      </w:r>
      <w:r>
        <w:rPr>
          <w:rFonts w:hint="eastAsia"/>
        </w:rPr>
        <w:t>。</w:t>
      </w:r>
    </w:p>
    <w:p>
      <w:pPr>
        <w:numPr>
          <w:ilvl w:val="0"/>
          <w:numId w:val="12"/>
        </w:numPr>
        <w:adjustRightInd w:val="0"/>
        <w:spacing w:line="579" w:lineRule="exact"/>
        <w:ind w:left="420" w:leftChars="0" w:hanging="42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配套专用的集中充放电设备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2"/>
        </w:numPr>
        <w:ind w:left="420" w:leftChars="0" w:hanging="420" w:firstLineChars="0"/>
      </w:pPr>
      <w:r>
        <w:rPr>
          <w:rFonts w:hint="eastAsia" w:ascii="宋体" w:hAnsi="宋体"/>
          <w:sz w:val="28"/>
          <w:szCs w:val="28"/>
        </w:rPr>
        <w:t>配套仓储信息化管理系统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37"/>
        <w:bidi w:val="0"/>
      </w:pPr>
      <w:r>
        <w:rPr>
          <w:rFonts w:hint="eastAsia"/>
        </w:rPr>
        <w:t>测试性</w:t>
      </w:r>
    </w:p>
    <w:p>
      <w:pPr>
        <w:numPr>
          <w:ilvl w:val="0"/>
          <w:numId w:val="12"/>
        </w:numPr>
        <w:bidi w:val="0"/>
      </w:pPr>
      <w:r>
        <w:t>具有开机自检功能，检测内容包括火工品安装检测、定位状态检测等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产品能根据故障检测设备的测试指令自动完成故障定位输出，虚警率2%；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产品故障隔离率95%。</w:t>
      </w:r>
    </w:p>
    <w:p>
      <w:pPr>
        <w:pStyle w:val="37"/>
        <w:bidi w:val="0"/>
      </w:pPr>
      <w:r>
        <w:rPr>
          <w:rFonts w:hint="eastAsia"/>
        </w:rPr>
        <w:t>安全性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产品具有激光安全专用标识，标识内容与格式应符合《GB  7247.1-2012/激光产品的安全/第1 部分设备分类、要求》中第 5 部分“标记”相关要求,产品激光发射口有明显安全标识；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产品符合相应人眼危害距离要求；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产品火工品安装处有安全警示标志和操作规程；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声光弹发射后不产生粉碎性变化；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烟雾罐发烟时出烟柔和，不产生爆炸、不散射；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烟雾罐发烟时无明火、不燃烧，底部不出烟；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发射弹和烟雾罐引燃后电阻丝熔断，不存在低阻连接现象；</w:t>
      </w:r>
    </w:p>
    <w:p>
      <w:pPr>
        <w:pStyle w:val="2"/>
        <w:numPr>
          <w:ilvl w:val="0"/>
          <w:numId w:val="1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</w:rPr>
        <w:t>模拟交战终端上安装的激光发射装置按使用要求严格控制发射功率，标注安全警示标识，防止对人眼造成伤害。电气布线应考虑强、弱电分离，设备运输与储存包装箱应标识最大堆码层数。相关强电使用设备的绝缘电阻和介电常数满足</w:t>
      </w:r>
      <w:r>
        <w:t>GJB367A-2001</w:t>
      </w:r>
      <w:r>
        <w:rPr>
          <w:rFonts w:hint="eastAsia"/>
        </w:rPr>
        <w:t>《军用通信设备通用规范》</w:t>
      </w:r>
      <w:r>
        <w:t>3.13</w:t>
      </w:r>
      <w:r>
        <w:rPr>
          <w:rFonts w:hint="eastAsia"/>
        </w:rPr>
        <w:t>规定的要求。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环境适应性</w:t>
      </w:r>
    </w:p>
    <w:p>
      <w:pPr>
        <w:pStyle w:val="38"/>
        <w:bidi w:val="0"/>
      </w:pPr>
      <w:r>
        <w:rPr>
          <w:rFonts w:hint="eastAsia"/>
        </w:rPr>
        <w:t>低温工作</w:t>
      </w:r>
    </w:p>
    <w:p>
      <w:pPr>
        <w:pStyle w:val="47"/>
        <w:bidi w:val="0"/>
      </w:pPr>
      <w:r>
        <w:rPr>
          <w:rFonts w:hint="eastAsia"/>
        </w:rPr>
        <w:t>产品满足：产品在-20℃环境温度下连续工作4小时，工作期间产品功能正常。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低温贮存</w:t>
      </w:r>
    </w:p>
    <w:p>
      <w:pPr>
        <w:pStyle w:val="47"/>
        <w:bidi w:val="0"/>
      </w:pPr>
      <w:r>
        <w:rPr>
          <w:rFonts w:hint="eastAsia"/>
        </w:rPr>
        <w:t>产品在-30℃环境温度下连续贮存12小时后再将产品置于正常环境条件下，达到温度稳定后，产品的功能正常。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高温工作</w:t>
      </w:r>
    </w:p>
    <w:p>
      <w:pPr>
        <w:pStyle w:val="47"/>
        <w:bidi w:val="0"/>
      </w:pPr>
      <w:r>
        <w:rPr>
          <w:rFonts w:hint="eastAsia"/>
        </w:rPr>
        <w:t>产品在60℃环境温度下连续工作4小时，工作期间产品功能正常。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高温贮存</w:t>
      </w:r>
    </w:p>
    <w:p>
      <w:pPr>
        <w:pStyle w:val="47"/>
        <w:bidi w:val="0"/>
      </w:pPr>
      <w:r>
        <w:rPr>
          <w:rFonts w:hint="eastAsia"/>
        </w:rPr>
        <w:t>产品在70℃环境温度下连续贮存12小时后再将产品置于正常环境条件下，达到温度稳定后，产品的功能正常。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运输振动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在模拟三级公路试验台上振动0.5h后能正常工作。</w:t>
      </w:r>
    </w:p>
    <w:p>
      <w:pPr>
        <w:pStyle w:val="38"/>
        <w:bidi w:val="0"/>
      </w:pPr>
      <w:r>
        <w:rPr>
          <w:rFonts w:hint="eastAsia"/>
        </w:rPr>
        <w:t>冲击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在加速度15g、半正弦波脉冲宽度11ms的冲击条件下，沿X（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安装方向）、Y（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安装侧向）方向各冲击3次，试验后能正常工作。</w:t>
      </w:r>
    </w:p>
    <w:p>
      <w:pPr>
        <w:pStyle w:val="38"/>
        <w:bidi w:val="0"/>
      </w:pPr>
      <w:r>
        <w:rPr>
          <w:rFonts w:hint="eastAsia"/>
        </w:rPr>
        <w:t>防雨淋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在雨量100mm/h的条件下持续雨淋0.5h后能正常工作。</w:t>
      </w:r>
    </w:p>
    <w:p>
      <w:pPr>
        <w:pStyle w:val="38"/>
        <w:bidi w:val="0"/>
      </w:pPr>
      <w:r>
        <w:rPr>
          <w:rFonts w:hint="eastAsia"/>
        </w:rPr>
        <w:t>沙尘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满足GB/T4208-2017《外壳防护等级（IP代码）》中IP6X防护等级要求。</w:t>
      </w:r>
      <w:bookmarkEnd w:id="14"/>
      <w:bookmarkEnd w:id="15"/>
      <w:bookmarkStart w:id="16" w:name="_Toc8916849"/>
      <w:bookmarkStart w:id="17" w:name="_Toc22379525"/>
      <w:bookmarkStart w:id="18" w:name="_Toc19102429"/>
    </w:p>
    <w:p>
      <w:pPr>
        <w:pStyle w:val="35"/>
        <w:bidi w:val="0"/>
      </w:pPr>
      <w:bookmarkStart w:id="19" w:name="_Toc20238393"/>
      <w:bookmarkStart w:id="20" w:name="_Toc20344090"/>
      <w:bookmarkStart w:id="21" w:name="_Toc22376455"/>
      <w:r>
        <w:rPr>
          <w:rFonts w:hint="eastAsia"/>
        </w:rPr>
        <w:t>扩展性</w:t>
      </w:r>
      <w:bookmarkEnd w:id="19"/>
      <w:bookmarkEnd w:id="20"/>
      <w:bookmarkEnd w:id="21"/>
    </w:p>
    <w:p>
      <w:pPr>
        <w:pStyle w:val="40"/>
        <w:bidi w:val="0"/>
        <w:ind w:firstLine="560" w:firstLineChars="200"/>
      </w:pPr>
      <w:r>
        <w:rPr>
          <w:rFonts w:hint="eastAsia"/>
        </w:rPr>
        <w:t>模拟地雷产品能模拟我军及外军主战防步兵、防坦克地雷等地爆类武器的效能。</w:t>
      </w:r>
    </w:p>
    <w:p>
      <w:pPr>
        <w:pStyle w:val="35"/>
        <w:bidi w:val="0"/>
      </w:pPr>
      <w:r>
        <w:t>电磁兼容性要求</w:t>
      </w:r>
      <w:bookmarkEnd w:id="16"/>
      <w:bookmarkEnd w:id="17"/>
      <w:bookmarkEnd w:id="18"/>
    </w:p>
    <w:p>
      <w:pPr>
        <w:pStyle w:val="47"/>
        <w:bidi w:val="0"/>
      </w:pPr>
      <w:r>
        <w:rPr>
          <w:rFonts w:hint="eastAsia"/>
          <w:lang w:eastAsia="zh-CN"/>
        </w:rPr>
        <w:t>发射机</w:t>
      </w:r>
      <w:r>
        <w:t>满足GJB151B-2013《军用设备和分系统电磁发射和敏感度要求与测量》中对陆军地面设备的以下测试条款限值要求（含剪裁要求）：</w:t>
      </w:r>
    </w:p>
    <w:p>
      <w:pPr>
        <w:pStyle w:val="40"/>
        <w:numPr>
          <w:ilvl w:val="0"/>
          <w:numId w:val="13"/>
        </w:numPr>
        <w:bidi w:val="0"/>
      </w:pPr>
      <w:r>
        <w:t>RS103电场辐射敏感度（10kHz～40GHz）：10V/m；</w:t>
      </w:r>
    </w:p>
    <w:p>
      <w:pPr>
        <w:pStyle w:val="40"/>
        <w:numPr>
          <w:ilvl w:val="0"/>
          <w:numId w:val="13"/>
        </w:numPr>
        <w:bidi w:val="0"/>
      </w:pPr>
      <w:r>
        <w:t>CS114电缆束注入传导敏感度（4kHz～400MHz）：曲线二；</w:t>
      </w:r>
    </w:p>
    <w:p>
      <w:pPr>
        <w:pStyle w:val="40"/>
        <w:numPr>
          <w:ilvl w:val="0"/>
          <w:numId w:val="13"/>
        </w:numPr>
        <w:bidi w:val="0"/>
      </w:pPr>
      <w:r>
        <w:t>CS115电缆束注入脉冲激励传导敏感度：5A；</w:t>
      </w:r>
    </w:p>
    <w:p>
      <w:pPr>
        <w:pStyle w:val="40"/>
        <w:numPr>
          <w:ilvl w:val="0"/>
          <w:numId w:val="13"/>
        </w:numPr>
        <w:bidi w:val="0"/>
      </w:pPr>
      <w:r>
        <w:t>CS116电缆和电源线阻尼正弦瞬态传导敏感度（10kHz～100MHz）：标准限值；</w:t>
      </w:r>
    </w:p>
    <w:p>
      <w:pPr>
        <w:pStyle w:val="40"/>
        <w:numPr>
          <w:ilvl w:val="0"/>
          <w:numId w:val="13"/>
        </w:numPr>
        <w:bidi w:val="0"/>
      </w:pPr>
      <w:r>
        <w:t>RE102电场辐射发射（10kHz～18GHz）：标准限值+20dB。</w:t>
      </w:r>
    </w:p>
    <w:p>
      <w:pPr>
        <w:pStyle w:val="35"/>
        <w:bidi w:val="0"/>
      </w:pPr>
      <w:bookmarkStart w:id="22" w:name="_Toc22376172"/>
      <w:bookmarkStart w:id="23" w:name="_Toc8723475"/>
      <w:bookmarkStart w:id="24" w:name="_Toc20341456"/>
      <w:r>
        <w:t>供电</w:t>
      </w:r>
      <w:bookmarkEnd w:id="22"/>
      <w:bookmarkEnd w:id="23"/>
      <w:bookmarkEnd w:id="24"/>
    </w:p>
    <w:p>
      <w:pPr>
        <w:pStyle w:val="40"/>
        <w:numPr>
          <w:ilvl w:val="0"/>
          <w:numId w:val="14"/>
        </w:numPr>
        <w:bidi w:val="0"/>
      </w:pPr>
      <w:r>
        <w:t>采用锂电池供电，规格参数符合GJB916B-2011《军用锂电池产品规范》的要求；</w:t>
      </w:r>
    </w:p>
    <w:p>
      <w:pPr>
        <w:pStyle w:val="40"/>
        <w:numPr>
          <w:ilvl w:val="0"/>
          <w:numId w:val="14"/>
        </w:numPr>
        <w:bidi w:val="0"/>
      </w:pPr>
      <w:r>
        <w:t>电池容量满足连续工作时间</w:t>
      </w:r>
      <w:r>
        <w:rPr>
          <w:rFonts w:hint="eastAsia"/>
          <w:lang w:eastAsia="zh-CN"/>
        </w:rPr>
        <w:t>：</w:t>
      </w:r>
      <w:r>
        <w:t>12h（单组电池）要求；</w:t>
      </w:r>
    </w:p>
    <w:p>
      <w:pPr>
        <w:pStyle w:val="40"/>
        <w:numPr>
          <w:ilvl w:val="0"/>
          <w:numId w:val="14"/>
        </w:numPr>
        <w:bidi w:val="0"/>
      </w:pPr>
      <w:r>
        <w:t>单组电池充电时间：6h。</w:t>
      </w:r>
    </w:p>
    <w:p>
      <w:pPr>
        <w:pStyle w:val="35"/>
        <w:bidi w:val="0"/>
      </w:pPr>
      <w:bookmarkStart w:id="25" w:name="_Toc20341457"/>
      <w:bookmarkStart w:id="26" w:name="_Toc22376173"/>
      <w:r>
        <w:t>安装使用</w:t>
      </w:r>
      <w:bookmarkEnd w:id="25"/>
      <w:bookmarkEnd w:id="26"/>
    </w:p>
    <w:p>
      <w:pPr>
        <w:pStyle w:val="40"/>
        <w:numPr>
          <w:ilvl w:val="0"/>
          <w:numId w:val="15"/>
        </w:numPr>
        <w:bidi w:val="0"/>
      </w:pPr>
      <w:bookmarkStart w:id="27" w:name="_Toc19102438"/>
      <w:bookmarkStart w:id="28" w:name="_Toc22379534"/>
      <w:r>
        <w:t>产品埋设方式与实装基本一致；</w:t>
      </w:r>
    </w:p>
    <w:p>
      <w:pPr>
        <w:pStyle w:val="40"/>
        <w:numPr>
          <w:ilvl w:val="0"/>
          <w:numId w:val="15"/>
        </w:numPr>
        <w:bidi w:val="0"/>
      </w:pPr>
      <w:r>
        <w:t>产品结构坚固，满足单兵人员反复踩压要求。</w:t>
      </w:r>
    </w:p>
    <w:p>
      <w:pPr>
        <w:pStyle w:val="35"/>
        <w:bidi w:val="0"/>
      </w:pPr>
      <w:r>
        <w:t>成套性</w:t>
      </w:r>
      <w:bookmarkEnd w:id="27"/>
      <w:bookmarkEnd w:id="28"/>
    </w:p>
    <w:tbl>
      <w:tblPr>
        <w:tblStyle w:val="2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334"/>
        <w:gridCol w:w="663"/>
        <w:gridCol w:w="950"/>
        <w:gridCol w:w="4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部件</w:t>
            </w:r>
          </w:p>
        </w:tc>
        <w:tc>
          <w:tcPr>
            <w:tcW w:w="677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45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控制主机</w:t>
            </w:r>
          </w:p>
        </w:tc>
        <w:tc>
          <w:tcPr>
            <w:tcW w:w="677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633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防护盖板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充电器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产品包装箱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每箱装10个压发式防步兵地雷模拟器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产品资料</w:t>
            </w:r>
          </w:p>
        </w:tc>
        <w:tc>
          <w:tcPr>
            <w:tcW w:w="67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套</w:t>
            </w:r>
          </w:p>
        </w:tc>
        <w:tc>
          <w:tcPr>
            <w:tcW w:w="45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含使用说明书、合格证、装箱清单、履历表</w:t>
            </w:r>
          </w:p>
        </w:tc>
      </w:tr>
    </w:tbl>
    <w:p/>
    <w:p>
      <w:pPr>
        <w:pStyle w:val="47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871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0">
      <wne:acd wne:acdName="acd6"/>
    </wne:keymap>
    <wne:keymap wne:kcmPrimary="0627">
      <wne:acd wne:acdName="acd7"/>
    </wne:keymap>
  </wne:keymaps>
  <wne:acds>
    <wne:acd wne:argValue="AgBqAHAAAE6nfgdomJg=" wne:acdName="acd0" wne:fciIndexBasedOn="0065"/>
    <wne:acd wne:argValue="AgBqAHAAjE6nfgdomJg=" wne:acdName="acd1" wne:fciIndexBasedOn="0065"/>
    <wne:acd wne:argValue="AgBqAHAACU6nfgdomJg=" wne:acdName="acd2" wne:fciIndexBasedOn="0065"/>
    <wne:acd wne:argValue="AgBqAHAA21anfgdomJg=" wne:acdName="acd3" wne:fciIndexBasedOn="0065"/>
    <wne:acd wne:argValue="AgBqAHAAlE6nfgdomJg=" wne:acdName="acd4" wne:fciIndexBasedOn="0065"/>
    <wne:acd wne:argValue="AgBqAHAAbVGnfgdomJg=" wne:acdName="acd5" wne:fciIndexBasedOn="0065"/>
    <wne:acd wne:argValue="AgBqAHAAY2uHZeBlKX/bjw==" wne:acdName="acd6" wne:fciIndexBasedOn="0065"/>
    <wne:acd wne:argValue="AgBqAHAAY2uHZSl/248=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048D3"/>
    <w:multiLevelType w:val="multilevel"/>
    <w:tmpl w:val="8A6048D3"/>
    <w:lvl w:ilvl="0" w:tentative="0">
      <w:start w:val="1"/>
      <w:numFmt w:val="decimal"/>
      <w:pStyle w:val="36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pStyle w:val="28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pStyle w:val="31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33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34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A65BEC9C"/>
    <w:multiLevelType w:val="multilevel"/>
    <w:tmpl w:val="A65BEC9C"/>
    <w:lvl w:ilvl="0" w:tentative="0">
      <w:start w:val="1"/>
      <w:numFmt w:val="decimal"/>
      <w:pStyle w:val="27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3">
    <w:nsid w:val="174F5C14"/>
    <w:multiLevelType w:val="singleLevel"/>
    <w:tmpl w:val="174F5C14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4">
    <w:nsid w:val="1D179757"/>
    <w:multiLevelType w:val="singleLevel"/>
    <w:tmpl w:val="1D17975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00816FC"/>
    <w:multiLevelType w:val="singleLevel"/>
    <w:tmpl w:val="200816FC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6">
    <w:nsid w:val="20F16A82"/>
    <w:multiLevelType w:val="multilevel"/>
    <w:tmpl w:val="20F16A8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pStyle w:val="32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912FDE1"/>
    <w:multiLevelType w:val="multilevel"/>
    <w:tmpl w:val="2912FDE1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 w:cs="宋体"/>
      </w:rPr>
    </w:lvl>
    <w:lvl w:ilvl="1" w:tentative="0">
      <w:start w:val="1"/>
      <w:numFmt w:val="decimal"/>
      <w:pStyle w:val="35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6"/>
      </w:rPr>
    </w:lvl>
    <w:lvl w:ilvl="2" w:tentative="0">
      <w:start w:val="1"/>
      <w:numFmt w:val="decimal"/>
      <w:pStyle w:val="37"/>
      <w:isLgl/>
      <w:suff w:val="nothing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2"/>
      </w:rPr>
    </w:lvl>
    <w:lvl w:ilvl="3" w:tentative="0">
      <w:start w:val="1"/>
      <w:numFmt w:val="decimal"/>
      <w:pStyle w:val="38"/>
      <w:isLgl/>
      <w:suff w:val="nothing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sz w:val="28"/>
        <w:szCs w:val="28"/>
      </w:rPr>
    </w:lvl>
    <w:lvl w:ilvl="4" w:tentative="0">
      <w:start w:val="1"/>
      <w:numFmt w:val="decimal"/>
      <w:pStyle w:val="39"/>
      <w:isLgl/>
      <w:suff w:val="nothing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5" w:tentative="0">
      <w:start w:val="1"/>
      <w:numFmt w:val="decimalFullWidth"/>
      <w:pStyle w:val="41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6" w:tentative="0">
      <w:start w:val="1"/>
      <w:numFmt w:val="decimalFullWidth"/>
      <w:isLgl/>
      <w:suff w:val="nothing"/>
      <w:lvlText w:val="%1.%2.%3.%4.%5.%6.%7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FullWidth"/>
      <w:isLgl/>
      <w:suff w:val="nothing"/>
      <w:lvlText w:val="%1.%2.%3.%4.%5.%6.%7.%8.%9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8">
    <w:nsid w:val="2BEF774F"/>
    <w:multiLevelType w:val="multilevel"/>
    <w:tmpl w:val="2BEF774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8"/>
      <w:suff w:val="space"/>
      <w:lvlText w:val="2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9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1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2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3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4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5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>
    <w:nsid w:val="37C717AC"/>
    <w:multiLevelType w:val="multilevel"/>
    <w:tmpl w:val="37C717AC"/>
    <w:lvl w:ilvl="0" w:tentative="0">
      <w:start w:val="8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space"/>
      <w:lvlText w:val="7.%2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7.%2.%3"/>
      <w:lvlJc w:val="left"/>
      <w:pPr>
        <w:ind w:left="142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2"/>
      <w:suff w:val="space"/>
      <w:lvlText w:val="7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7.%2.%3.%4.%5"/>
      <w:lvlJc w:val="left"/>
      <w:pPr>
        <w:ind w:left="0" w:firstLine="0"/>
      </w:pPr>
      <w:rPr>
        <w:rFonts w:hint="default" w:ascii="Times New Roman" w:hAnsi="Times New Roman" w:cs="Times New Roman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7.%2.%3.%4.%5.%6"/>
      <w:lvlJc w:val="left"/>
      <w:pPr>
        <w:tabs>
          <w:tab w:val="left" w:pos="115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abstractNum w:abstractNumId="10">
    <w:nsid w:val="3FD22E60"/>
    <w:multiLevelType w:val="singleLevel"/>
    <w:tmpl w:val="3FD22E60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1">
    <w:nsid w:val="41AC317E"/>
    <w:multiLevelType w:val="singleLevel"/>
    <w:tmpl w:val="41AC317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2">
    <w:nsid w:val="4D6D17FE"/>
    <w:multiLevelType w:val="singleLevel"/>
    <w:tmpl w:val="4D6D17F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3">
    <w:nsid w:val="4EE15631"/>
    <w:multiLevelType w:val="multilevel"/>
    <w:tmpl w:val="4EE15631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7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8"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3"/>
      <w:lvlText w:val="%1.%2.%3.%4.%5"/>
      <w:lvlJc w:val="left"/>
      <w:pPr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A813476"/>
    <w:multiLevelType w:val="singleLevel"/>
    <w:tmpl w:val="6A813476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12"/>
    <w:lvlOverride w:ilvl="0">
      <w:startOverride w:val="1"/>
    </w:lvlOverride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C4D"/>
    <w:rsid w:val="019E35C9"/>
    <w:rsid w:val="03FE6DF9"/>
    <w:rsid w:val="043D1165"/>
    <w:rsid w:val="049B460A"/>
    <w:rsid w:val="04CA5F13"/>
    <w:rsid w:val="057B2792"/>
    <w:rsid w:val="07FB0A26"/>
    <w:rsid w:val="08AD2073"/>
    <w:rsid w:val="090514BA"/>
    <w:rsid w:val="09975BD2"/>
    <w:rsid w:val="0A6D1DCA"/>
    <w:rsid w:val="0ABB46E2"/>
    <w:rsid w:val="0CB36566"/>
    <w:rsid w:val="0D070E08"/>
    <w:rsid w:val="0D2549DE"/>
    <w:rsid w:val="0D7633A7"/>
    <w:rsid w:val="0F915954"/>
    <w:rsid w:val="10416B87"/>
    <w:rsid w:val="11CD2746"/>
    <w:rsid w:val="12F75941"/>
    <w:rsid w:val="13E350F6"/>
    <w:rsid w:val="151C7E35"/>
    <w:rsid w:val="155E541B"/>
    <w:rsid w:val="16564E4B"/>
    <w:rsid w:val="16B33102"/>
    <w:rsid w:val="18AB172A"/>
    <w:rsid w:val="19C8321E"/>
    <w:rsid w:val="1AA54D6C"/>
    <w:rsid w:val="1ACD6B3F"/>
    <w:rsid w:val="1AFD3D34"/>
    <w:rsid w:val="1B07030F"/>
    <w:rsid w:val="1B1E4D4B"/>
    <w:rsid w:val="1C0256CB"/>
    <w:rsid w:val="1D281E65"/>
    <w:rsid w:val="1D56022F"/>
    <w:rsid w:val="1DFE2872"/>
    <w:rsid w:val="1E356E8E"/>
    <w:rsid w:val="220B1CEC"/>
    <w:rsid w:val="239C0D78"/>
    <w:rsid w:val="24707020"/>
    <w:rsid w:val="24DA7675"/>
    <w:rsid w:val="25243186"/>
    <w:rsid w:val="2558009C"/>
    <w:rsid w:val="25D965AC"/>
    <w:rsid w:val="2708422B"/>
    <w:rsid w:val="272122E0"/>
    <w:rsid w:val="273C0057"/>
    <w:rsid w:val="2A3F5231"/>
    <w:rsid w:val="2C2836AF"/>
    <w:rsid w:val="2CB93993"/>
    <w:rsid w:val="2E49263F"/>
    <w:rsid w:val="2E847A59"/>
    <w:rsid w:val="2E8E53DD"/>
    <w:rsid w:val="2EE16950"/>
    <w:rsid w:val="2F255FE5"/>
    <w:rsid w:val="30273F6A"/>
    <w:rsid w:val="32B41DA9"/>
    <w:rsid w:val="32E40B7F"/>
    <w:rsid w:val="333F6F36"/>
    <w:rsid w:val="33F345E5"/>
    <w:rsid w:val="341E5AB2"/>
    <w:rsid w:val="342F5D1C"/>
    <w:rsid w:val="345000EC"/>
    <w:rsid w:val="383B7CB4"/>
    <w:rsid w:val="38440F1A"/>
    <w:rsid w:val="38B75A11"/>
    <w:rsid w:val="390C00F8"/>
    <w:rsid w:val="3A413490"/>
    <w:rsid w:val="3A4C68AE"/>
    <w:rsid w:val="3B47680D"/>
    <w:rsid w:val="3BA642E1"/>
    <w:rsid w:val="3E86131C"/>
    <w:rsid w:val="405A5CC5"/>
    <w:rsid w:val="40D90483"/>
    <w:rsid w:val="413D0443"/>
    <w:rsid w:val="418052FE"/>
    <w:rsid w:val="43894962"/>
    <w:rsid w:val="446E1E96"/>
    <w:rsid w:val="47281DDD"/>
    <w:rsid w:val="47311E73"/>
    <w:rsid w:val="483D73F0"/>
    <w:rsid w:val="483F6756"/>
    <w:rsid w:val="48445BE5"/>
    <w:rsid w:val="4914116B"/>
    <w:rsid w:val="498B36EB"/>
    <w:rsid w:val="49BA7AB6"/>
    <w:rsid w:val="49C97313"/>
    <w:rsid w:val="4BC37020"/>
    <w:rsid w:val="4CDB4835"/>
    <w:rsid w:val="4CE13019"/>
    <w:rsid w:val="4CF255B1"/>
    <w:rsid w:val="4E646699"/>
    <w:rsid w:val="4F560BB2"/>
    <w:rsid w:val="4F9B6B41"/>
    <w:rsid w:val="4FBC6595"/>
    <w:rsid w:val="50A67B5E"/>
    <w:rsid w:val="51087BA5"/>
    <w:rsid w:val="51160E05"/>
    <w:rsid w:val="51F83C04"/>
    <w:rsid w:val="53CC71EA"/>
    <w:rsid w:val="55763CAB"/>
    <w:rsid w:val="570B23E3"/>
    <w:rsid w:val="578935BC"/>
    <w:rsid w:val="57C51296"/>
    <w:rsid w:val="59895A2F"/>
    <w:rsid w:val="59EE322D"/>
    <w:rsid w:val="5AA26459"/>
    <w:rsid w:val="5BAB7B4F"/>
    <w:rsid w:val="5D926DC3"/>
    <w:rsid w:val="5E5623E4"/>
    <w:rsid w:val="5EB46C78"/>
    <w:rsid w:val="6083723A"/>
    <w:rsid w:val="60982ED6"/>
    <w:rsid w:val="62033EB7"/>
    <w:rsid w:val="637449DE"/>
    <w:rsid w:val="6501186F"/>
    <w:rsid w:val="66DB718F"/>
    <w:rsid w:val="672C194C"/>
    <w:rsid w:val="679A2E87"/>
    <w:rsid w:val="67AB6895"/>
    <w:rsid w:val="68D921A8"/>
    <w:rsid w:val="6A7841D9"/>
    <w:rsid w:val="6A8054B1"/>
    <w:rsid w:val="6B6D0362"/>
    <w:rsid w:val="6B993D4E"/>
    <w:rsid w:val="6CD602B7"/>
    <w:rsid w:val="6F5A1A33"/>
    <w:rsid w:val="6F625D9B"/>
    <w:rsid w:val="6F7E3138"/>
    <w:rsid w:val="6FAF562B"/>
    <w:rsid w:val="71516D7F"/>
    <w:rsid w:val="722534BC"/>
    <w:rsid w:val="72911FF8"/>
    <w:rsid w:val="73A44376"/>
    <w:rsid w:val="73FD78A0"/>
    <w:rsid w:val="755D5C19"/>
    <w:rsid w:val="759C7433"/>
    <w:rsid w:val="759F35B5"/>
    <w:rsid w:val="76617148"/>
    <w:rsid w:val="775411A4"/>
    <w:rsid w:val="77A52EB0"/>
    <w:rsid w:val="78C90C7E"/>
    <w:rsid w:val="78DB34C7"/>
    <w:rsid w:val="790D0CE1"/>
    <w:rsid w:val="798C1918"/>
    <w:rsid w:val="79CE5B8D"/>
    <w:rsid w:val="79F30046"/>
    <w:rsid w:val="7B113D19"/>
    <w:rsid w:val="7B130790"/>
    <w:rsid w:val="7C845436"/>
    <w:rsid w:val="7CB7029F"/>
    <w:rsid w:val="7DEA4E28"/>
    <w:rsid w:val="7DE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heading 1"/>
    <w:basedOn w:val="1"/>
    <w:next w:val="1"/>
    <w:link w:val="63"/>
    <w:qFormat/>
    <w:uiPriority w:val="0"/>
    <w:pPr>
      <w:keepNext/>
      <w:keepLines/>
      <w:spacing w:beforeAutospacing="0" w:afterAutospacing="0" w:line="576" w:lineRule="auto"/>
      <w:ind w:firstLine="0"/>
      <w:outlineLvl w:val="0"/>
    </w:pPr>
    <w:rPr>
      <w:rFonts w:asciiTheme="minorAscii" w:hAnsiTheme="minorAscii"/>
      <w:b/>
      <w:kern w:val="44"/>
      <w:sz w:val="44"/>
    </w:rPr>
  </w:style>
  <w:style w:type="paragraph" w:styleId="8">
    <w:name w:val="heading 2"/>
    <w:basedOn w:val="1"/>
    <w:next w:val="1"/>
    <w:link w:val="48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link w:val="50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10">
    <w:name w:val="heading 4"/>
    <w:basedOn w:val="1"/>
    <w:next w:val="1"/>
    <w:link w:val="60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11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3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4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5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rPr>
      <w:rFonts w:ascii="楷体_GB2312" w:eastAsia="楷体_GB2312"/>
      <w:sz w:val="24"/>
    </w:rPr>
  </w:style>
  <w:style w:type="paragraph" w:styleId="16">
    <w:name w:val="Normal Indent"/>
    <w:basedOn w:val="1"/>
    <w:qFormat/>
    <w:uiPriority w:val="0"/>
    <w:pPr>
      <w:ind w:firstLine="420" w:firstLineChars="200"/>
    </w:pPr>
  </w:style>
  <w:style w:type="paragraph" w:styleId="1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Body Text First Indent"/>
    <w:basedOn w:val="5"/>
    <w:qFormat/>
    <w:uiPriority w:val="99"/>
    <w:pPr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List 2 Accent 1"/>
    <w:basedOn w:val="22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6">
    <w:name w:val="Hyperlink"/>
    <w:basedOn w:val="25"/>
    <w:qFormat/>
    <w:uiPriority w:val="0"/>
    <w:rPr>
      <w:color w:val="0000FF"/>
      <w:u w:val="single"/>
    </w:rPr>
  </w:style>
  <w:style w:type="paragraph" w:customStyle="1" w:styleId="27">
    <w:name w:val="样式12"/>
    <w:basedOn w:val="1"/>
    <w:next w:val="1"/>
    <w:qFormat/>
    <w:uiPriority w:val="0"/>
    <w:pPr>
      <w:numPr>
        <w:ilvl w:val="0"/>
        <w:numId w:val="2"/>
      </w:numPr>
      <w:jc w:val="center"/>
      <w:outlineLvl w:val="1"/>
    </w:pPr>
    <w:rPr>
      <w:rFonts w:asciiTheme="minorAscii" w:hAnsiTheme="minorAscii"/>
      <w:b/>
      <w:sz w:val="36"/>
    </w:rPr>
  </w:style>
  <w:style w:type="paragraph" w:customStyle="1" w:styleId="28">
    <w:name w:val="二级标题"/>
    <w:basedOn w:val="1"/>
    <w:next w:val="1"/>
    <w:qFormat/>
    <w:uiPriority w:val="0"/>
    <w:pPr>
      <w:numPr>
        <w:ilvl w:val="1"/>
        <w:numId w:val="3"/>
      </w:numPr>
      <w:ind w:left="0" w:firstLine="0"/>
      <w:jc w:val="center"/>
      <w:outlineLvl w:val="1"/>
    </w:pPr>
    <w:rPr>
      <w:rFonts w:eastAsia="仿宋_GB2312" w:asciiTheme="minorAscii" w:hAnsiTheme="minorAscii"/>
      <w:b/>
      <w:sz w:val="36"/>
    </w:rPr>
  </w:style>
  <w:style w:type="paragraph" w:customStyle="1" w:styleId="29">
    <w:name w:val="jp一级标题"/>
    <w:next w:val="1"/>
    <w:qFormat/>
    <w:uiPriority w:val="0"/>
    <w:pPr>
      <w:numPr>
        <w:ilvl w:val="0"/>
        <w:numId w:val="4"/>
      </w:numPr>
      <w:spacing w:after="100" w:afterLines="100" w:line="240" w:lineRule="auto"/>
      <w:ind w:left="0" w:firstLine="400"/>
      <w:jc w:val="center"/>
      <w:outlineLvl w:val="0"/>
    </w:pPr>
    <w:rPr>
      <w:rFonts w:ascii="黑体" w:hAnsi="黑体" w:eastAsia="黑体" w:cstheme="minorBidi"/>
      <w:b/>
      <w:sz w:val="44"/>
    </w:rPr>
  </w:style>
  <w:style w:type="paragraph" w:customStyle="1" w:styleId="30">
    <w:name w:val="三级标题"/>
    <w:basedOn w:val="1"/>
    <w:qFormat/>
    <w:uiPriority w:val="0"/>
    <w:pPr>
      <w:numPr>
        <w:ilvl w:val="2"/>
        <w:numId w:val="3"/>
      </w:numPr>
    </w:pPr>
  </w:style>
  <w:style w:type="paragraph" w:customStyle="1" w:styleId="31">
    <w:name w:val="四级标题"/>
    <w:basedOn w:val="1"/>
    <w:qFormat/>
    <w:uiPriority w:val="0"/>
    <w:pPr>
      <w:numPr>
        <w:ilvl w:val="3"/>
        <w:numId w:val="3"/>
      </w:numPr>
    </w:pPr>
  </w:style>
  <w:style w:type="paragraph" w:customStyle="1" w:styleId="32">
    <w:name w:val="五级标题"/>
    <w:basedOn w:val="1"/>
    <w:qFormat/>
    <w:uiPriority w:val="0"/>
    <w:pPr>
      <w:numPr>
        <w:ilvl w:val="4"/>
        <w:numId w:val="5"/>
      </w:numPr>
    </w:pPr>
  </w:style>
  <w:style w:type="paragraph" w:customStyle="1" w:styleId="33">
    <w:name w:val="783标题6"/>
    <w:basedOn w:val="1"/>
    <w:qFormat/>
    <w:uiPriority w:val="0"/>
    <w:pPr>
      <w:numPr>
        <w:ilvl w:val="5"/>
        <w:numId w:val="3"/>
      </w:numPr>
      <w:ind w:left="3260" w:hanging="1134"/>
    </w:pPr>
  </w:style>
  <w:style w:type="paragraph" w:customStyle="1" w:styleId="34">
    <w:name w:val="783标题7"/>
    <w:basedOn w:val="1"/>
    <w:qFormat/>
    <w:uiPriority w:val="0"/>
    <w:pPr>
      <w:numPr>
        <w:ilvl w:val="6"/>
        <w:numId w:val="3"/>
      </w:numPr>
      <w:ind w:left="3827" w:hanging="1276"/>
    </w:pPr>
  </w:style>
  <w:style w:type="paragraph" w:customStyle="1" w:styleId="35">
    <w:name w:val="jp二级标题"/>
    <w:basedOn w:val="1"/>
    <w:next w:val="1"/>
    <w:link w:val="45"/>
    <w:qFormat/>
    <w:uiPriority w:val="0"/>
    <w:pPr>
      <w:numPr>
        <w:ilvl w:val="1"/>
        <w:numId w:val="4"/>
      </w:numPr>
      <w:ind w:firstLine="0"/>
      <w:jc w:val="left"/>
      <w:outlineLvl w:val="1"/>
    </w:pPr>
    <w:rPr>
      <w:rFonts w:ascii="黑体" w:hAnsi="黑体" w:eastAsia="黑体"/>
      <w:b/>
      <w:sz w:val="36"/>
    </w:rPr>
  </w:style>
  <w:style w:type="paragraph" w:customStyle="1" w:styleId="36">
    <w:name w:val="一级标题"/>
    <w:basedOn w:val="1"/>
    <w:qFormat/>
    <w:uiPriority w:val="0"/>
    <w:pPr>
      <w:numPr>
        <w:ilvl w:val="0"/>
        <w:numId w:val="3"/>
      </w:numPr>
    </w:pPr>
  </w:style>
  <w:style w:type="paragraph" w:customStyle="1" w:styleId="37">
    <w:name w:val="jp三级标题"/>
    <w:link w:val="43"/>
    <w:qFormat/>
    <w:uiPriority w:val="0"/>
    <w:pPr>
      <w:numPr>
        <w:ilvl w:val="2"/>
        <w:numId w:val="4"/>
      </w:numPr>
      <w:ind w:firstLine="0"/>
      <w:jc w:val="left"/>
      <w:outlineLvl w:val="2"/>
    </w:pPr>
    <w:rPr>
      <w:rFonts w:ascii="黑体" w:hAnsi="黑体" w:eastAsia="黑体" w:cstheme="minorBidi"/>
      <w:b/>
      <w:sz w:val="32"/>
    </w:rPr>
  </w:style>
  <w:style w:type="paragraph" w:customStyle="1" w:styleId="38">
    <w:name w:val="jp四级标题"/>
    <w:basedOn w:val="1"/>
    <w:link w:val="44"/>
    <w:qFormat/>
    <w:uiPriority w:val="0"/>
    <w:pPr>
      <w:numPr>
        <w:ilvl w:val="3"/>
        <w:numId w:val="4"/>
      </w:numPr>
      <w:ind w:firstLine="0"/>
      <w:jc w:val="left"/>
      <w:outlineLvl w:val="3"/>
    </w:pPr>
    <w:rPr>
      <w:rFonts w:eastAsia="黑体" w:asciiTheme="minorAscii" w:hAnsiTheme="minorAscii"/>
      <w:b/>
    </w:rPr>
  </w:style>
  <w:style w:type="paragraph" w:customStyle="1" w:styleId="39">
    <w:name w:val="jp五级标题"/>
    <w:basedOn w:val="38"/>
    <w:next w:val="1"/>
    <w:link w:val="42"/>
    <w:qFormat/>
    <w:uiPriority w:val="0"/>
    <w:pPr>
      <w:numPr>
        <w:ilvl w:val="4"/>
        <w:numId w:val="4"/>
      </w:numPr>
      <w:outlineLvl w:val="4"/>
    </w:pPr>
  </w:style>
  <w:style w:type="paragraph" w:customStyle="1" w:styleId="40">
    <w:name w:val="jp正文无缩进"/>
    <w:basedOn w:val="1"/>
    <w:link w:val="51"/>
    <w:qFormat/>
    <w:uiPriority w:val="0"/>
    <w:pPr>
      <w:ind w:firstLine="0" w:firstLineChars="0"/>
    </w:pPr>
    <w:rPr>
      <w:rFonts w:ascii="仿宋_GB2312" w:hAnsi="仿宋_GB2312"/>
    </w:rPr>
  </w:style>
  <w:style w:type="paragraph" w:customStyle="1" w:styleId="41">
    <w:name w:val="jp六级标题"/>
    <w:basedOn w:val="39"/>
    <w:next w:val="1"/>
    <w:qFormat/>
    <w:uiPriority w:val="0"/>
    <w:pPr>
      <w:numPr>
        <w:ilvl w:val="5"/>
      </w:numPr>
      <w:outlineLvl w:val="5"/>
    </w:pPr>
  </w:style>
  <w:style w:type="character" w:customStyle="1" w:styleId="42">
    <w:name w:val="jp五级标题 Char"/>
    <w:link w:val="39"/>
    <w:qFormat/>
    <w:uiPriority w:val="0"/>
  </w:style>
  <w:style w:type="character" w:customStyle="1" w:styleId="43">
    <w:name w:val="jp三级标题 Char"/>
    <w:link w:val="37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44">
    <w:name w:val="jp四级标题 Char"/>
    <w:link w:val="38"/>
    <w:qFormat/>
    <w:uiPriority w:val="0"/>
    <w:rPr>
      <w:rFonts w:eastAsia="黑体" w:asciiTheme="minorAscii" w:hAnsiTheme="minorAscii"/>
      <w:b/>
      <w:sz w:val="28"/>
    </w:rPr>
  </w:style>
  <w:style w:type="character" w:customStyle="1" w:styleId="45">
    <w:name w:val="jp二级标题 Char"/>
    <w:link w:val="35"/>
    <w:qFormat/>
    <w:uiPriority w:val="0"/>
    <w:rPr>
      <w:rFonts w:ascii="黑体" w:hAnsi="黑体" w:eastAsia="黑体"/>
      <w:b/>
      <w:sz w:val="36"/>
    </w:rPr>
  </w:style>
  <w:style w:type="paragraph" w:customStyle="1" w:styleId="46">
    <w:name w:val="jp表格"/>
    <w:qFormat/>
    <w:uiPriority w:val="0"/>
    <w:pPr>
      <w:jc w:val="center"/>
    </w:pPr>
    <w:rPr>
      <w:rFonts w:ascii="仿宋_GB2312" w:hAnsi="仿宋_GB2312" w:eastAsia="仿宋_GB2312" w:cs="仿宋_GB2312"/>
      <w:sz w:val="21"/>
      <w:szCs w:val="21"/>
    </w:rPr>
  </w:style>
  <w:style w:type="paragraph" w:customStyle="1" w:styleId="47">
    <w:name w:val="jp正文缩进"/>
    <w:link w:val="52"/>
    <w:qFormat/>
    <w:uiPriority w:val="0"/>
    <w:pPr>
      <w:ind w:firstLine="876" w:firstLineChars="200"/>
    </w:pPr>
    <w:rPr>
      <w:rFonts w:ascii="仿宋_GB2312" w:hAnsi="仿宋_GB2312" w:eastAsia="仿宋_GB2312" w:cstheme="minorBidi"/>
      <w:sz w:val="28"/>
    </w:rPr>
  </w:style>
  <w:style w:type="character" w:customStyle="1" w:styleId="48">
    <w:name w:val="标题 2 Char"/>
    <w:basedOn w:val="25"/>
    <w:link w:val="8"/>
    <w:qFormat/>
    <w:uiPriority w:val="9"/>
    <w:rPr>
      <w:rFonts w:ascii="Arial" w:hAnsi="Arial" w:eastAsia="黑体"/>
      <w:b/>
      <w:sz w:val="32"/>
    </w:rPr>
  </w:style>
  <w:style w:type="character" w:customStyle="1" w:styleId="49">
    <w:name w:val="Heading 3 Char"/>
    <w:basedOn w:val="25"/>
    <w:link w:val="9"/>
    <w:qFormat/>
    <w:uiPriority w:val="9"/>
    <w:rPr>
      <w:b/>
      <w:sz w:val="32"/>
    </w:rPr>
  </w:style>
  <w:style w:type="character" w:customStyle="1" w:styleId="50">
    <w:name w:val="标题 3 Char"/>
    <w:basedOn w:val="25"/>
    <w:link w:val="9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51">
    <w:name w:val="jp正文无缩进 Char"/>
    <w:link w:val="40"/>
    <w:qFormat/>
    <w:uiPriority w:val="0"/>
    <w:rPr>
      <w:rFonts w:ascii="仿宋_GB2312" w:hAnsi="仿宋_GB2312" w:eastAsia="仿宋_GB2312"/>
      <w:sz w:val="28"/>
    </w:rPr>
  </w:style>
  <w:style w:type="character" w:customStyle="1" w:styleId="52">
    <w:name w:val="jp正文缩进 Char"/>
    <w:link w:val="47"/>
    <w:qFormat/>
    <w:uiPriority w:val="0"/>
    <w:rPr>
      <w:rFonts w:ascii="仿宋_GB2312" w:hAnsi="仿宋_GB2312" w:eastAsia="仿宋_GB2312" w:cstheme="minorBidi"/>
      <w:sz w:val="28"/>
    </w:rPr>
  </w:style>
  <w:style w:type="paragraph" w:customStyle="1" w:styleId="53">
    <w:name w:val="投标-正文"/>
    <w:basedOn w:val="1"/>
    <w:qFormat/>
    <w:uiPriority w:val="99"/>
    <w:pPr>
      <w:ind w:firstLine="200" w:firstLineChars="200"/>
      <w:jc w:val="left"/>
    </w:pPr>
    <w:rPr>
      <w:rFonts w:ascii="Times New Roman" w:hAnsi="Times New Roman"/>
      <w:sz w:val="28"/>
      <w:szCs w:val="28"/>
    </w:rPr>
  </w:style>
  <w:style w:type="paragraph" w:customStyle="1" w:styleId="5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paragraph" w:customStyle="1" w:styleId="57">
    <w:name w:val="Code"/>
    <w:basedOn w:val="56"/>
    <w:qFormat/>
    <w:uiPriority w:val="0"/>
    <w:pPr>
      <w:shd w:val="clear" w:color="auto" w:fill="E7E6E6" w:themeFill="background2"/>
    </w:pPr>
    <w:rPr>
      <w:rFonts w:ascii="Consolas" w:hAnsi="Consolas"/>
      <w:sz w:val="16"/>
      <w:szCs w:val="16"/>
    </w:rPr>
  </w:style>
  <w:style w:type="paragraph" w:customStyle="1" w:styleId="58">
    <w:name w:val="标准文件_段落"/>
    <w:basedOn w:val="1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character" w:customStyle="1" w:styleId="59">
    <w:name w:val="标题 4 Char"/>
    <w:link w:val="10"/>
    <w:qFormat/>
    <w:uiPriority w:val="0"/>
    <w:rPr>
      <w:rFonts w:ascii="Arial" w:hAnsi="Arial" w:eastAsia="黑体"/>
      <w:b/>
      <w:sz w:val="28"/>
    </w:rPr>
  </w:style>
  <w:style w:type="character" w:customStyle="1" w:styleId="60">
    <w:name w:val="Heading 4 Char"/>
    <w:basedOn w:val="25"/>
    <w:link w:val="10"/>
    <w:qFormat/>
    <w:uiPriority w:val="9"/>
    <w:rPr>
      <w:rFonts w:ascii="Calibri" w:hAnsi="Calibri" w:eastAsia="仿宋_GB2312" w:cstheme="majorBidi"/>
      <w:b/>
      <w:iCs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character" w:customStyle="1" w:styleId="61">
    <w:name w:val="fontstyle0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62">
    <w:name w:val="投标-4级标题"/>
    <w:basedOn w:val="53"/>
    <w:next w:val="53"/>
    <w:qFormat/>
    <w:uiPriority w:val="99"/>
    <w:pPr>
      <w:numPr>
        <w:ilvl w:val="3"/>
        <w:numId w:val="6"/>
      </w:numPr>
      <w:ind w:firstLineChars="0"/>
      <w:outlineLvl w:val="3"/>
    </w:pPr>
  </w:style>
  <w:style w:type="character" w:customStyle="1" w:styleId="63">
    <w:name w:val="标题 1 Char"/>
    <w:link w:val="7"/>
    <w:qFormat/>
    <w:uiPriority w:val="0"/>
    <w:rPr>
      <w:rFonts w:asciiTheme="minorAscii" w:hAnsiTheme="minorAscii"/>
      <w:b/>
      <w:kern w:val="44"/>
      <w:sz w:val="44"/>
    </w:rPr>
  </w:style>
  <w:style w:type="paragraph" w:customStyle="1" w:styleId="64">
    <w:name w:val="标准文件_段"/>
    <w:qFormat/>
    <w:uiPriority w:val="99"/>
    <w:pPr>
      <w:autoSpaceDE w:val="0"/>
      <w:autoSpaceDN w:val="0"/>
      <w:adjustRightInd w:val="0"/>
      <w:snapToGrid w:val="0"/>
      <w:spacing w:line="276" w:lineRule="auto"/>
      <w:ind w:left="-90" w:leftChars="-50" w:right="-90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65">
    <w:name w:val="表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 w:cs="Times New Roman"/>
      <w:sz w:val="18"/>
      <w:szCs w:val="24"/>
    </w:rPr>
  </w:style>
  <w:style w:type="paragraph" w:customStyle="1" w:styleId="66">
    <w:name w:val="783正文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67">
    <w:name w:val="783标题3"/>
    <w:basedOn w:val="9"/>
    <w:qFormat/>
    <w:uiPriority w:val="0"/>
    <w:pPr>
      <w:numPr>
        <w:numId w:val="7"/>
      </w:numPr>
      <w:spacing w:before="0" w:after="120" w:afterLines="50" w:line="240" w:lineRule="auto"/>
      <w:jc w:val="left"/>
    </w:pPr>
    <w:rPr>
      <w:rFonts w:ascii="宋体" w:hAnsi="宋体"/>
      <w:sz w:val="28"/>
    </w:rPr>
  </w:style>
  <w:style w:type="paragraph" w:customStyle="1" w:styleId="68">
    <w:name w:val="783标题4"/>
    <w:basedOn w:val="10"/>
    <w:qFormat/>
    <w:uiPriority w:val="0"/>
    <w:pPr>
      <w:numPr>
        <w:numId w:val="7"/>
      </w:numPr>
      <w:spacing w:before="0" w:after="50" w:afterLines="50" w:line="240" w:lineRule="auto"/>
      <w:jc w:val="left"/>
    </w:pPr>
    <w:rPr>
      <w:rFonts w:ascii="楷体" w:eastAsia="仿宋_GB2312"/>
    </w:rPr>
  </w:style>
  <w:style w:type="paragraph" w:customStyle="1" w:styleId="69">
    <w:name w:val="783图表注样式"/>
    <w:basedOn w:val="66"/>
    <w:qFormat/>
    <w:uiPriority w:val="1"/>
    <w:pPr>
      <w:spacing w:line="240" w:lineRule="auto"/>
      <w:ind w:firstLine="0" w:firstLineChars="0"/>
      <w:jc w:val="center"/>
    </w:pPr>
    <w:rPr>
      <w:rFonts w:hAnsi="等线"/>
      <w:kern w:val="2"/>
      <w:szCs w:val="22"/>
    </w:rPr>
  </w:style>
  <w:style w:type="paragraph" w:customStyle="1" w:styleId="70">
    <w:name w:val="题注表格"/>
    <w:qFormat/>
    <w:uiPriority w:val="10"/>
    <w:pPr>
      <w:keepNext/>
      <w:spacing w:before="50" w:beforeLines="50"/>
      <w:jc w:val="center"/>
    </w:pPr>
    <w:rPr>
      <w:rFonts w:ascii="Times New Roman" w:hAnsi="Times New Roman" w:eastAsia="黑体" w:cs="Times New Roman"/>
      <w:bCs/>
      <w:iCs/>
      <w:kern w:val="0"/>
      <w:sz w:val="24"/>
      <w:szCs w:val="28"/>
      <w:lang w:val="zh-CN" w:eastAsia="zh-CN" w:bidi="ar-SA"/>
    </w:rPr>
  </w:style>
  <w:style w:type="character" w:customStyle="1" w:styleId="71">
    <w:name w:val="783表格正文样式 Char"/>
    <w:link w:val="72"/>
    <w:qFormat/>
    <w:uiPriority w:val="1"/>
    <w:rPr>
      <w:rFonts w:ascii="宋体" w:hAnsi="等线" w:eastAsia="宋体"/>
      <w:kern w:val="2"/>
      <w:sz w:val="21"/>
      <w:szCs w:val="22"/>
    </w:rPr>
  </w:style>
  <w:style w:type="paragraph" w:customStyle="1" w:styleId="72">
    <w:name w:val="783表格正文样式"/>
    <w:basedOn w:val="66"/>
    <w:link w:val="71"/>
    <w:qFormat/>
    <w:uiPriority w:val="1"/>
    <w:pPr>
      <w:spacing w:before="15" w:beforeLines="15" w:after="30" w:afterLines="30" w:line="240" w:lineRule="auto"/>
      <w:ind w:firstLine="0" w:firstLineChars="0"/>
    </w:pPr>
    <w:rPr>
      <w:rFonts w:ascii="宋体" w:hAnsi="等线" w:eastAsia="宋体"/>
      <w:kern w:val="2"/>
      <w:sz w:val="21"/>
      <w:szCs w:val="22"/>
    </w:rPr>
  </w:style>
  <w:style w:type="paragraph" w:customStyle="1" w:styleId="73">
    <w:name w:val="783标题5"/>
    <w:basedOn w:val="68"/>
    <w:next w:val="66"/>
    <w:qFormat/>
    <w:uiPriority w:val="0"/>
    <w:pPr>
      <w:numPr>
        <w:ilvl w:val="4"/>
      </w:numPr>
      <w:tabs>
        <w:tab w:val="left" w:pos="1560"/>
      </w:tabs>
      <w:spacing w:after="120"/>
      <w:ind w:left="0" w:firstLine="0"/>
      <w:outlineLvl w:val="4"/>
    </w:pPr>
    <w:rPr>
      <w:rFonts w:hAnsi="等线 Light"/>
      <w:kern w:val="2"/>
      <w:szCs w:val="21"/>
    </w:rPr>
  </w:style>
  <w:style w:type="paragraph" w:customStyle="1" w:styleId="74">
    <w:name w:val="表格 标题"/>
    <w:basedOn w:val="1"/>
    <w:qFormat/>
    <w:uiPriority w:val="0"/>
    <w:pPr>
      <w:widowControl w:val="0"/>
      <w:snapToGrid/>
      <w:spacing w:line="360" w:lineRule="auto"/>
      <w:ind w:firstLine="360"/>
    </w:pPr>
    <w:rPr>
      <w:rFonts w:cs="Times New Roman"/>
      <w:b/>
      <w:szCs w:val="18"/>
    </w:rPr>
  </w:style>
  <w:style w:type="paragraph" w:customStyle="1" w:styleId="75">
    <w:name w:val="表格内正文"/>
    <w:basedOn w:val="1"/>
    <w:qFormat/>
    <w:uiPriority w:val="0"/>
    <w:pPr>
      <w:widowControl w:val="0"/>
      <w:adjustRightInd w:val="0"/>
      <w:spacing w:line="360" w:lineRule="auto"/>
      <w:ind w:firstLine="0" w:firstLineChars="0"/>
    </w:pPr>
    <w:rPr>
      <w:rFonts w:cs="Times New Roman"/>
      <w:szCs w:val="21"/>
    </w:rPr>
  </w:style>
  <w:style w:type="paragraph" w:customStyle="1" w:styleId="76">
    <w:name w:val="标准文件_一级条标题"/>
    <w:basedOn w:val="77"/>
    <w:next w:val="58"/>
    <w:qFormat/>
    <w:uiPriority w:val="0"/>
    <w:pPr>
      <w:numPr>
        <w:ilvl w:val="2"/>
      </w:numPr>
      <w:tabs>
        <w:tab w:val="left" w:pos="426"/>
      </w:tabs>
      <w:spacing w:beforeLines="0" w:afterLines="0"/>
      <w:outlineLvl w:val="2"/>
    </w:pPr>
    <w:rPr>
      <w:spacing w:val="2"/>
    </w:rPr>
  </w:style>
  <w:style w:type="paragraph" w:customStyle="1" w:styleId="77">
    <w:name w:val="标准文件_章标题"/>
    <w:next w:val="1"/>
    <w:qFormat/>
    <w:locked/>
    <w:uiPriority w:val="0"/>
    <w:pPr>
      <w:numPr>
        <w:ilvl w:val="1"/>
        <w:numId w:val="8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2020-06-23T02:50:00Z</dcterms:created>
  <dc:creator>Administrator</dc:creator>
  <cp:lastModifiedBy>Administrator</cp:lastModifiedBy>
  <dcterms:modified xsi:type="dcterms:W3CDTF">2020-07-31T06:43:30Z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