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直升机外挂式模拟终端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vertAlign w:val="baseline"/>
                <w:lang w:val="en-US" w:eastAsia="zh-CN"/>
              </w:rPr>
              <w:drawing>
                <wp:inline distT="0" distB="0" distL="114300" distR="114300">
                  <wp:extent cx="2817495" cy="1564005"/>
                  <wp:effectExtent l="0" t="0" r="1905" b="17145"/>
                  <wp:docPr id="265" name="图片 265" descr="微信图片_2019022616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微信图片_20190226164408"/>
                          <pic:cNvPicPr>
                            <a:picLocks noChangeAspect="1"/>
                          </pic:cNvPicPr>
                        </pic:nvPicPr>
                        <pic:blipFill>
                          <a:blip r:embed="rId6"/>
                          <a:stretch>
                            <a:fillRect/>
                          </a:stretch>
                        </pic:blipFill>
                        <pic:spPr>
                          <a:xfrm>
                            <a:off x="0" y="0"/>
                            <a:ext cx="2817495" cy="156400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ascii="仿宋_GB2312" w:hAnsi="仿宋_GB2312" w:eastAsia="仿宋_GB2312" w:cs="仿宋_GB2312"/>
                <w:color w:val="auto"/>
                <w:sz w:val="28"/>
                <w:szCs w:val="28"/>
                <w:lang w:eastAsia="zh-CN"/>
              </w:rPr>
              <w:drawing>
                <wp:inline distT="0" distB="0" distL="114300" distR="114300">
                  <wp:extent cx="2040890" cy="2440305"/>
                  <wp:effectExtent l="0" t="0" r="0" b="0"/>
                  <wp:docPr id="269" name="图片 21" descr="步战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1" descr="步战车-"/>
                          <pic:cNvPicPr>
                            <a:picLocks noChangeAspect="1"/>
                          </pic:cNvPicPr>
                        </pic:nvPicPr>
                        <pic:blipFill>
                          <a:blip r:embed="rId7"/>
                          <a:stretch>
                            <a:fillRect/>
                          </a:stretch>
                        </pic:blipFill>
                        <pic:spPr>
                          <a:xfrm>
                            <a:off x="0" y="0"/>
                            <a:ext cx="2040890" cy="24403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激光接收组</w:t>
            </w:r>
          </w:p>
        </w:tc>
        <w:tc>
          <w:tcPr>
            <w:tcW w:w="4510" w:type="dxa"/>
            <w:noWrap w:val="0"/>
            <w:vAlign w:val="center"/>
          </w:tcPr>
          <w:p>
            <w:pPr>
              <w:pStyle w:val="2"/>
              <w:ind w:left="0" w:leftChars="0" w:firstLine="0" w:firstLineChars="0"/>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lang w:val="en-US" w:eastAsia="zh-CN"/>
              </w:rPr>
            </w:pPr>
            <w:r>
              <w:rPr>
                <w:rFonts w:hint="eastAsia"/>
                <w:vertAlign w:val="baseline"/>
                <w:lang w:val="en-US" w:eastAsia="zh-CN"/>
              </w:rPr>
              <w:drawing>
                <wp:inline distT="0" distB="0" distL="114300" distR="114300">
                  <wp:extent cx="1878965" cy="1715135"/>
                  <wp:effectExtent l="0" t="0" r="0" b="0"/>
                  <wp:docPr id="275" name="图片 275"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QQ图片20190618090530"/>
                          <pic:cNvPicPr>
                            <a:picLocks noChangeAspect="1"/>
                          </pic:cNvPicPr>
                        </pic:nvPicPr>
                        <pic:blipFill>
                          <a:blip r:embed="rId8"/>
                          <a:srcRect l="15034" t="21624" r="15782" b="31007"/>
                          <a:stretch>
                            <a:fillRect/>
                          </a:stretch>
                        </pic:blipFill>
                        <pic:spPr>
                          <a:xfrm>
                            <a:off x="0" y="0"/>
                            <a:ext cx="1878965" cy="171513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highlight w:val="none"/>
                <w:vertAlign w:val="baseline"/>
                <w:lang w:val="en-US" w:eastAsia="zh-CN"/>
              </w:rPr>
              <w:drawing>
                <wp:inline distT="0" distB="0" distL="114300" distR="114300">
                  <wp:extent cx="2038350" cy="1273810"/>
                  <wp:effectExtent l="0" t="0" r="0" b="2540"/>
                  <wp:docPr id="276" name="图片 276" descr="1575518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1575518170(1)"/>
                          <pic:cNvPicPr>
                            <a:picLocks noChangeAspect="1"/>
                          </pic:cNvPicPr>
                        </pic:nvPicPr>
                        <pic:blipFill>
                          <a:blip r:embed="rId9"/>
                          <a:srcRect l="11712" t="20118" r="16216" b="20710"/>
                          <a:stretch>
                            <a:fillRect/>
                          </a:stretch>
                        </pic:blipFill>
                        <pic:spPr>
                          <a:xfrm>
                            <a:off x="0" y="0"/>
                            <a:ext cx="2038350" cy="12738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直流电池</w:t>
            </w:r>
          </w:p>
        </w:tc>
        <w:tc>
          <w:tcPr>
            <w:tcW w:w="4510" w:type="dxa"/>
            <w:noWrap w:val="0"/>
            <w:vAlign w:val="center"/>
          </w:tcPr>
          <w:p>
            <w:pPr>
              <w:pStyle w:val="2"/>
              <w:ind w:left="0" w:leftChars="0" w:firstLine="0" w:firstLineChars="0"/>
              <w:jc w:val="center"/>
              <w:rPr>
                <w:rFonts w:hint="eastAsia" w:eastAsia="仿宋_GB2312"/>
                <w:sz w:val="24"/>
                <w:szCs w:val="24"/>
                <w:lang w:val="en-US" w:eastAsia="zh-CN"/>
              </w:rPr>
            </w:pPr>
            <w:r>
              <w:rPr>
                <w:rFonts w:hint="eastAsia"/>
                <w:sz w:val="24"/>
                <w:szCs w:val="24"/>
                <w:lang w:val="en-US" w:eastAsia="zh-CN"/>
              </w:rPr>
              <w:t>直升机舱内机</w:t>
            </w:r>
          </w:p>
        </w:tc>
      </w:tr>
    </w:tbl>
    <w:p>
      <w:pPr>
        <w:pStyle w:val="35"/>
        <w:bidi w:val="0"/>
      </w:pPr>
      <w:r>
        <w:rPr>
          <w:rFonts w:hint="eastAsia"/>
          <w:lang w:val="en-US" w:eastAsia="zh-CN"/>
        </w:rPr>
        <w:t>直升机外挂式模拟终端</w:t>
      </w:r>
      <w:r>
        <w:t>用途</w:t>
      </w:r>
    </w:p>
    <w:p>
      <w:pPr>
        <w:pStyle w:val="46"/>
        <w:bidi w:val="0"/>
      </w:pPr>
      <w:r>
        <w:t>组织开展实兵训练演习时，用于模拟直升机的防御效能及被打击后的现地显示效果。</w:t>
      </w:r>
    </w:p>
    <w:p>
      <w:pPr>
        <w:pStyle w:val="35"/>
        <w:bidi w:val="0"/>
      </w:pPr>
      <w:r>
        <w:rPr>
          <w:rFonts w:hint="eastAsia"/>
          <w:lang w:val="en-US" w:eastAsia="zh-CN"/>
        </w:rPr>
        <w:t>直升机外挂式模拟终端</w:t>
      </w:r>
      <w:r>
        <w:t>组成</w:t>
      </w:r>
    </w:p>
    <w:p>
      <w:pPr>
        <w:pStyle w:val="46"/>
        <w:bidi w:val="0"/>
      </w:pPr>
      <w:bookmarkStart w:id="0" w:name="_Toc19102411"/>
      <w:bookmarkStart w:id="1" w:name="_Toc22379507"/>
      <w:r>
        <w:t>产品主要由控制主机、舱内显示设备、接收探头组、命中效果模拟装置、火工品、电池等组成。如下图所示：</w:t>
      </w:r>
    </w:p>
    <w:p>
      <w:pPr>
        <w:pStyle w:val="46"/>
        <w:bidi w:val="0"/>
        <w:jc w:val="center"/>
      </w:pPr>
      <w:r>
        <w:rPr>
          <w:rFonts w:ascii="Calibri" w:hAnsi="Calibri" w:cs="Calibri"/>
        </w:rPr>
        <w:object>
          <v:shape id="_x0000_i1025" o:spt="75" type="#_x0000_t75" style="height:189.1pt;width:135.85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35"/>
        <w:bidi w:val="0"/>
      </w:pPr>
      <w:r>
        <w:rPr>
          <w:rFonts w:hint="eastAsia"/>
          <w:lang w:val="en-US" w:eastAsia="zh-CN"/>
        </w:rPr>
        <w:t>直升机外挂式模拟终端功能</w:t>
      </w:r>
    </w:p>
    <w:p>
      <w:pPr>
        <w:pStyle w:val="37"/>
        <w:bidi w:val="0"/>
      </w:pPr>
      <w:bookmarkStart w:id="2" w:name="_Toc22378748"/>
      <w:bookmarkStart w:id="3" w:name="_Toc19102250"/>
      <w:r>
        <w:t>毁伤模拟</w:t>
      </w:r>
      <w:bookmarkEnd w:id="2"/>
      <w:bookmarkEnd w:id="3"/>
    </w:p>
    <w:p>
      <w:pPr>
        <w:pStyle w:val="40"/>
        <w:numPr>
          <w:ilvl w:val="0"/>
          <w:numId w:val="9"/>
        </w:numPr>
        <w:bidi w:val="0"/>
      </w:pPr>
      <w:r>
        <w:t>能模拟</w:t>
      </w:r>
      <w:r>
        <w:rPr>
          <w:rFonts w:hint="eastAsia"/>
        </w:rPr>
        <w:t>直升机</w:t>
      </w:r>
      <w:r>
        <w:t>被防空高炮、高射机枪、防空导弹等有效武器打击后的杀伤效果；</w:t>
      </w:r>
    </w:p>
    <w:p>
      <w:pPr>
        <w:pStyle w:val="40"/>
        <w:numPr>
          <w:ilvl w:val="0"/>
          <w:numId w:val="9"/>
        </w:numPr>
        <w:bidi w:val="0"/>
      </w:pPr>
      <w:r>
        <w:t>能自动关联进入直升机的人员，并在直升机被打击后模拟对内部人员的连带杀伤效果；</w:t>
      </w:r>
    </w:p>
    <w:p>
      <w:pPr>
        <w:pStyle w:val="40"/>
        <w:numPr>
          <w:ilvl w:val="0"/>
          <w:numId w:val="9"/>
        </w:numPr>
        <w:bidi w:val="0"/>
      </w:pPr>
      <w:r>
        <w:t>能通过无线方式告知防空导弹成功截获，无线通信距离</w:t>
      </w:r>
      <w:r>
        <w:rPr>
          <w:rFonts w:hint="eastAsia"/>
          <w:lang w:eastAsia="zh-CN"/>
        </w:rPr>
        <w:t>：</w:t>
      </w:r>
      <w:r>
        <w:t>3000米；</w:t>
      </w:r>
    </w:p>
    <w:p>
      <w:pPr>
        <w:pStyle w:val="40"/>
        <w:numPr>
          <w:ilvl w:val="0"/>
          <w:numId w:val="9"/>
        </w:numPr>
        <w:bidi w:val="0"/>
      </w:pPr>
      <w:r>
        <w:t>具备水平360°，垂直-75°～15°的激光接收能力；</w:t>
      </w:r>
    </w:p>
    <w:p>
      <w:pPr>
        <w:pStyle w:val="40"/>
        <w:numPr>
          <w:ilvl w:val="0"/>
          <w:numId w:val="9"/>
        </w:numPr>
        <w:bidi w:val="0"/>
      </w:pPr>
      <w:r>
        <w:t>产品激光接收器在接收到有效数据4字节的数据帧时，解码时间</w:t>
      </w:r>
      <w:r>
        <w:rPr>
          <w:rFonts w:hint="eastAsia"/>
          <w:lang w:eastAsia="zh-CN"/>
        </w:rPr>
        <w:t>：</w:t>
      </w:r>
      <w:r>
        <w:t>10ms；</w:t>
      </w:r>
    </w:p>
    <w:p>
      <w:pPr>
        <w:pStyle w:val="40"/>
        <w:numPr>
          <w:ilvl w:val="0"/>
          <w:numId w:val="9"/>
        </w:numPr>
        <w:bidi w:val="0"/>
      </w:pPr>
      <w:r>
        <w:t>在频率1KHz，脉宽2us的噪声干扰背景下，产品激光接收解码成功率</w:t>
      </w:r>
      <w:r>
        <w:rPr>
          <w:rFonts w:hint="eastAsia"/>
          <w:lang w:eastAsia="zh-CN"/>
        </w:rPr>
        <w:t>：</w:t>
      </w:r>
      <w:r>
        <w:t>99%；</w:t>
      </w:r>
    </w:p>
    <w:p>
      <w:pPr>
        <w:pStyle w:val="40"/>
        <w:numPr>
          <w:ilvl w:val="0"/>
          <w:numId w:val="9"/>
        </w:numPr>
        <w:bidi w:val="0"/>
      </w:pPr>
      <w:r>
        <w:rPr>
          <w:rFonts w:hint="eastAsia"/>
        </w:rPr>
        <w:t>当被击毁时，产品能自动锁定激光发射功能；</w:t>
      </w:r>
    </w:p>
    <w:p>
      <w:pPr>
        <w:pStyle w:val="40"/>
        <w:numPr>
          <w:ilvl w:val="0"/>
          <w:numId w:val="9"/>
        </w:numPr>
        <w:bidi w:val="0"/>
      </w:pPr>
      <w:r>
        <w:t>提供软件升级外部接口，满足毁伤模型快速更新要求。</w:t>
      </w:r>
    </w:p>
    <w:p>
      <w:pPr>
        <w:pStyle w:val="37"/>
        <w:bidi w:val="0"/>
        <w:rPr>
          <w:szCs w:val="22"/>
        </w:rPr>
      </w:pPr>
      <w:bookmarkStart w:id="4" w:name="_Toc19102251"/>
      <w:bookmarkStart w:id="5" w:name="_Toc22378749"/>
      <w:r>
        <w:rPr>
          <w:szCs w:val="22"/>
        </w:rPr>
        <w:t>命中提示</w:t>
      </w:r>
      <w:bookmarkEnd w:id="4"/>
      <w:bookmarkEnd w:id="5"/>
    </w:p>
    <w:p>
      <w:pPr>
        <w:pStyle w:val="40"/>
        <w:numPr>
          <w:ilvl w:val="0"/>
          <w:numId w:val="10"/>
        </w:numPr>
        <w:bidi w:val="0"/>
      </w:pPr>
      <w:r>
        <w:t>能够通过黑色烟雾等方式显示直升机被命中后的战场效果；</w:t>
      </w:r>
    </w:p>
    <w:p>
      <w:pPr>
        <w:pStyle w:val="40"/>
        <w:numPr>
          <w:ilvl w:val="0"/>
          <w:numId w:val="10"/>
        </w:numPr>
        <w:bidi w:val="0"/>
      </w:pPr>
      <w:r>
        <w:t>能通过舱内显示设备提示舱内人员直升机被命中。</w:t>
      </w:r>
    </w:p>
    <w:p>
      <w:pPr>
        <w:pStyle w:val="37"/>
        <w:bidi w:val="0"/>
        <w:rPr>
          <w:szCs w:val="22"/>
        </w:rPr>
      </w:pPr>
      <w:bookmarkStart w:id="6" w:name="_Toc22378750"/>
      <w:bookmarkStart w:id="7" w:name="_Toc19102252"/>
      <w:r>
        <w:rPr>
          <w:szCs w:val="22"/>
        </w:rPr>
        <w:t>告警提示</w:t>
      </w:r>
      <w:bookmarkEnd w:id="6"/>
      <w:bookmarkEnd w:id="7"/>
    </w:p>
    <w:p>
      <w:pPr>
        <w:pStyle w:val="46"/>
        <w:bidi w:val="0"/>
      </w:pPr>
      <w:r>
        <w:t>能通过舱内显控设备对供电状态、设备故障等情况进行告警提示。</w:t>
      </w:r>
    </w:p>
    <w:p>
      <w:pPr>
        <w:pStyle w:val="37"/>
        <w:bidi w:val="0"/>
        <w:rPr>
          <w:szCs w:val="22"/>
        </w:rPr>
      </w:pPr>
      <w:bookmarkStart w:id="8" w:name="_Toc22378751"/>
      <w:bookmarkStart w:id="9" w:name="_Toc19102253"/>
      <w:r>
        <w:rPr>
          <w:szCs w:val="22"/>
        </w:rPr>
        <w:t>状态显示</w:t>
      </w:r>
      <w:bookmarkEnd w:id="8"/>
      <w:bookmarkEnd w:id="9"/>
    </w:p>
    <w:p>
      <w:pPr>
        <w:pStyle w:val="46"/>
        <w:bidi w:val="0"/>
      </w:pPr>
      <w:r>
        <w:t>能对自身状态信息进行实时查询和显示，查询显示内容包括以下信息：</w:t>
      </w:r>
    </w:p>
    <w:p>
      <w:pPr>
        <w:pStyle w:val="40"/>
        <w:numPr>
          <w:ilvl w:val="0"/>
          <w:numId w:val="11"/>
        </w:numPr>
        <w:bidi w:val="0"/>
      </w:pPr>
      <w:r>
        <w:t>身份信息；</w:t>
      </w:r>
    </w:p>
    <w:p>
      <w:pPr>
        <w:pStyle w:val="40"/>
        <w:numPr>
          <w:ilvl w:val="0"/>
          <w:numId w:val="11"/>
        </w:numPr>
        <w:bidi w:val="0"/>
      </w:pPr>
      <w:r>
        <w:t>当前工作模式（演习/训练）；</w:t>
      </w:r>
    </w:p>
    <w:p>
      <w:pPr>
        <w:pStyle w:val="40"/>
        <w:numPr>
          <w:ilvl w:val="0"/>
          <w:numId w:val="11"/>
        </w:numPr>
        <w:bidi w:val="0"/>
      </w:pPr>
      <w:r>
        <w:rPr>
          <w:rFonts w:hint="eastAsia"/>
        </w:rPr>
        <w:t>武器类型；</w:t>
      </w:r>
    </w:p>
    <w:p>
      <w:pPr>
        <w:pStyle w:val="40"/>
        <w:numPr>
          <w:ilvl w:val="0"/>
          <w:numId w:val="11"/>
        </w:numPr>
        <w:bidi w:val="0"/>
      </w:pPr>
      <w:r>
        <w:rPr>
          <w:rFonts w:hint="eastAsia"/>
        </w:rPr>
        <w:t>弹药类型和剩余弹量；</w:t>
      </w:r>
    </w:p>
    <w:p>
      <w:pPr>
        <w:pStyle w:val="40"/>
        <w:numPr>
          <w:ilvl w:val="0"/>
          <w:numId w:val="11"/>
        </w:numPr>
        <w:bidi w:val="0"/>
      </w:pPr>
      <w:r>
        <w:t>毁伤信息；</w:t>
      </w:r>
    </w:p>
    <w:p>
      <w:pPr>
        <w:pStyle w:val="40"/>
        <w:numPr>
          <w:ilvl w:val="0"/>
          <w:numId w:val="11"/>
        </w:numPr>
        <w:bidi w:val="0"/>
      </w:pPr>
      <w:r>
        <w:t>通信状态（包括当前与通信基站间的通信信号强度等）；</w:t>
      </w:r>
    </w:p>
    <w:p>
      <w:pPr>
        <w:pStyle w:val="40"/>
        <w:numPr>
          <w:ilvl w:val="0"/>
          <w:numId w:val="11"/>
        </w:numPr>
        <w:bidi w:val="0"/>
      </w:pPr>
      <w:r>
        <w:t>当前定位状态；</w:t>
      </w:r>
    </w:p>
    <w:p>
      <w:pPr>
        <w:pStyle w:val="40"/>
        <w:numPr>
          <w:ilvl w:val="0"/>
          <w:numId w:val="11"/>
        </w:numPr>
        <w:bidi w:val="0"/>
      </w:pPr>
      <w:r>
        <w:t>剩余电量。</w:t>
      </w:r>
    </w:p>
    <w:p>
      <w:pPr>
        <w:pStyle w:val="37"/>
        <w:bidi w:val="0"/>
        <w:rPr>
          <w:szCs w:val="22"/>
        </w:rPr>
      </w:pPr>
      <w:bookmarkStart w:id="10" w:name="_Toc22378752"/>
      <w:bookmarkStart w:id="11" w:name="_Toc19102254"/>
      <w:r>
        <w:rPr>
          <w:szCs w:val="22"/>
        </w:rPr>
        <w:t>远程控制响应</w:t>
      </w:r>
      <w:bookmarkEnd w:id="10"/>
      <w:bookmarkEnd w:id="11"/>
    </w:p>
    <w:p>
      <w:pPr>
        <w:pStyle w:val="40"/>
        <w:numPr>
          <w:ilvl w:val="0"/>
          <w:numId w:val="12"/>
        </w:numPr>
        <w:bidi w:val="0"/>
      </w:pPr>
      <w:r>
        <w:t>能够接收主控软件在演习前下发的演习参数预置指令，完成密钥等参数预置和工作模式（训练模式与演习模式）自动切换；</w:t>
      </w:r>
    </w:p>
    <w:p>
      <w:pPr>
        <w:pStyle w:val="40"/>
        <w:numPr>
          <w:ilvl w:val="0"/>
          <w:numId w:val="12"/>
        </w:numPr>
        <w:bidi w:val="0"/>
      </w:pPr>
      <w:r>
        <w:t>能够接收主控软件下发的导控裁决无线指令，实现远程</w:t>
      </w:r>
      <w:r>
        <w:rPr>
          <w:rFonts w:hint="eastAsia"/>
        </w:rPr>
        <w:t>裁决</w:t>
      </w:r>
      <w:r>
        <w:t>操作；</w:t>
      </w:r>
    </w:p>
    <w:p>
      <w:pPr>
        <w:pStyle w:val="40"/>
        <w:numPr>
          <w:ilvl w:val="0"/>
          <w:numId w:val="12"/>
        </w:numPr>
        <w:bidi w:val="0"/>
      </w:pPr>
      <w:r>
        <w:t>能够接收主控软件下发的演习密钥设置无线指令，实现远程加载终端密钥。</w:t>
      </w:r>
    </w:p>
    <w:p>
      <w:pPr>
        <w:pStyle w:val="37"/>
        <w:bidi w:val="0"/>
        <w:rPr>
          <w:szCs w:val="22"/>
        </w:rPr>
      </w:pPr>
      <w:bookmarkStart w:id="12" w:name="_Toc19102255"/>
      <w:bookmarkStart w:id="13" w:name="_Toc22378753"/>
      <w:r>
        <w:rPr>
          <w:szCs w:val="22"/>
        </w:rPr>
        <w:t>现地调理响应</w:t>
      </w:r>
      <w:bookmarkEnd w:id="12"/>
      <w:bookmarkEnd w:id="13"/>
    </w:p>
    <w:p>
      <w:pPr>
        <w:pStyle w:val="40"/>
        <w:numPr>
          <w:ilvl w:val="0"/>
          <w:numId w:val="13"/>
        </w:numPr>
        <w:bidi w:val="0"/>
      </w:pPr>
      <w:r>
        <w:t>能够接收装弹采集器在演习前发送的演习参数预置指令，完成密钥等参数预置和工作模式（训练模式与演习模式）自动切换；</w:t>
      </w:r>
    </w:p>
    <w:p>
      <w:pPr>
        <w:pStyle w:val="40"/>
        <w:numPr>
          <w:ilvl w:val="0"/>
          <w:numId w:val="13"/>
        </w:numPr>
        <w:bidi w:val="0"/>
      </w:pPr>
      <w:r>
        <w:rPr>
          <w:rFonts w:hint="eastAsia"/>
        </w:rPr>
        <w:t>产品能够在演习过程中实时接收模拟装弹器的弹药参数设置指令，实现弹药的补给；</w:t>
      </w:r>
    </w:p>
    <w:p>
      <w:pPr>
        <w:pStyle w:val="40"/>
        <w:numPr>
          <w:ilvl w:val="0"/>
          <w:numId w:val="13"/>
        </w:numPr>
        <w:bidi w:val="0"/>
      </w:pPr>
      <w:r>
        <w:t>能够接收调理枪的导控裁决指令，实现现地</w:t>
      </w:r>
      <w:r>
        <w:rPr>
          <w:rFonts w:hint="eastAsia"/>
        </w:rPr>
        <w:t>裁决</w:t>
      </w:r>
      <w:r>
        <w:t>等操作。</w:t>
      </w:r>
    </w:p>
    <w:p>
      <w:pPr>
        <w:pStyle w:val="37"/>
        <w:bidi w:val="0"/>
        <w:rPr>
          <w:szCs w:val="22"/>
        </w:rPr>
      </w:pPr>
      <w:bookmarkStart w:id="14" w:name="_Toc19102256"/>
      <w:bookmarkStart w:id="15" w:name="_Toc22378754"/>
      <w:r>
        <w:rPr>
          <w:szCs w:val="22"/>
        </w:rPr>
        <w:t>演训信息采集上传</w:t>
      </w:r>
      <w:bookmarkEnd w:id="14"/>
      <w:bookmarkEnd w:id="15"/>
    </w:p>
    <w:p>
      <w:pPr>
        <w:pStyle w:val="40"/>
        <w:numPr>
          <w:ilvl w:val="0"/>
          <w:numId w:val="14"/>
        </w:numPr>
        <w:bidi w:val="0"/>
      </w:pPr>
      <w:r>
        <w:t>能按预设的时间间隔定时上传状态信息，包括身份信息、位置信息等，其中定位方式采用包含北斗的双模方式，定位精度满足位置</w:t>
      </w:r>
      <w:r>
        <w:rPr>
          <w:rFonts w:hint="eastAsia"/>
          <w:lang w:eastAsia="zh-CN"/>
        </w:rPr>
        <w:t>：</w:t>
      </w:r>
      <w:r>
        <w:t>5m（RMS），高程</w:t>
      </w:r>
      <w:r>
        <w:rPr>
          <w:rFonts w:hint="eastAsia"/>
          <w:lang w:eastAsia="zh-CN"/>
        </w:rPr>
        <w:t>：</w:t>
      </w:r>
      <w:r>
        <w:t>20m；</w:t>
      </w:r>
    </w:p>
    <w:p>
      <w:pPr>
        <w:pStyle w:val="40"/>
        <w:numPr>
          <w:ilvl w:val="0"/>
          <w:numId w:val="14"/>
        </w:numPr>
        <w:bidi w:val="0"/>
      </w:pPr>
      <w:r>
        <w:rPr>
          <w:rFonts w:hint="eastAsia"/>
        </w:rPr>
        <w:t>产品上传状态信息最长时间间隔为1s；</w:t>
      </w:r>
    </w:p>
    <w:p>
      <w:pPr>
        <w:pStyle w:val="40"/>
        <w:numPr>
          <w:ilvl w:val="0"/>
          <w:numId w:val="14"/>
        </w:numPr>
        <w:bidi w:val="0"/>
      </w:pPr>
      <w:r>
        <w:t>能自动检测并实时上传各类训练事件信息，事件类型包括被打击事件（含直瞄打击、间瞄打击、二次打击、爆炸类武器打击等）、弹药补充事件、裁决事件（含远程裁决事件及现地裁决事件）、违规事件（含火工品未安装、非法移动、非法关机等）等；其中，被打击事件上传的信息包括攻击方身份、攻击武器及弹药类型、攻击时间、攻击位置以及打击结果、命中时间和所在位置等。</w:t>
      </w:r>
    </w:p>
    <w:p>
      <w:pPr>
        <w:pStyle w:val="37"/>
        <w:bidi w:val="0"/>
        <w:rPr>
          <w:szCs w:val="22"/>
        </w:rPr>
      </w:pPr>
      <w:bookmarkStart w:id="16" w:name="_Toc19102257"/>
      <w:bookmarkStart w:id="17" w:name="_Toc22378755"/>
      <w:r>
        <w:rPr>
          <w:szCs w:val="22"/>
        </w:rPr>
        <w:t>工况信息采集上传</w:t>
      </w:r>
      <w:bookmarkEnd w:id="16"/>
      <w:bookmarkEnd w:id="17"/>
    </w:p>
    <w:p>
      <w:pPr>
        <w:pStyle w:val="46"/>
        <w:bidi w:val="0"/>
      </w:pPr>
      <w:r>
        <w:t>能自动检测故障状态(包括通信模块失效、定位模块失效、探头失效等)、欠电状态、部件连接状态等信息，并完成自动上传。</w:t>
      </w:r>
    </w:p>
    <w:p>
      <w:pPr>
        <w:pStyle w:val="37"/>
        <w:bidi w:val="0"/>
        <w:rPr>
          <w:szCs w:val="22"/>
        </w:rPr>
      </w:pPr>
      <w:bookmarkStart w:id="18" w:name="_Toc19102258"/>
      <w:bookmarkStart w:id="19" w:name="_Toc22378756"/>
      <w:r>
        <w:rPr>
          <w:szCs w:val="22"/>
        </w:rPr>
        <w:t>违规处置</w:t>
      </w:r>
      <w:bookmarkEnd w:id="18"/>
      <w:bookmarkEnd w:id="19"/>
    </w:p>
    <w:p>
      <w:pPr>
        <w:pStyle w:val="40"/>
        <w:numPr>
          <w:ilvl w:val="0"/>
          <w:numId w:val="15"/>
        </w:numPr>
        <w:bidi w:val="0"/>
      </w:pPr>
      <w:r>
        <w:t>能自动检测火工品安装情况，当未按要求安装火工品时，自动上报主控软件；</w:t>
      </w:r>
    </w:p>
    <w:p>
      <w:pPr>
        <w:pStyle w:val="40"/>
        <w:numPr>
          <w:ilvl w:val="0"/>
          <w:numId w:val="15"/>
        </w:numPr>
        <w:bidi w:val="0"/>
      </w:pPr>
      <w:r>
        <w:t>能自动检测开关机信号，当出现在演习模式且在未</w:t>
      </w:r>
      <w:r>
        <w:rPr>
          <w:rFonts w:hint="eastAsia"/>
        </w:rPr>
        <w:t>欠电</w:t>
      </w:r>
      <w:r>
        <w:t>状态的关机重启时，产品自动判定为击毁状态。</w:t>
      </w:r>
    </w:p>
    <w:p>
      <w:pPr>
        <w:pStyle w:val="37"/>
        <w:bidi w:val="0"/>
        <w:rPr>
          <w:szCs w:val="22"/>
        </w:rPr>
      </w:pPr>
      <w:bookmarkStart w:id="20" w:name="_Toc22378757"/>
      <w:bookmarkStart w:id="21" w:name="_Toc19102259"/>
      <w:r>
        <w:rPr>
          <w:szCs w:val="22"/>
        </w:rPr>
        <w:t>重量</w:t>
      </w:r>
      <w:bookmarkEnd w:id="20"/>
      <w:bookmarkEnd w:id="21"/>
    </w:p>
    <w:p>
      <w:pPr>
        <w:pStyle w:val="40"/>
        <w:numPr>
          <w:ilvl w:val="0"/>
          <w:numId w:val="16"/>
        </w:numPr>
        <w:bidi w:val="0"/>
      </w:pPr>
      <w:r>
        <w:t>产品总重量：50kg；</w:t>
      </w:r>
    </w:p>
    <w:p>
      <w:pPr>
        <w:pStyle w:val="40"/>
        <w:numPr>
          <w:ilvl w:val="0"/>
          <w:numId w:val="16"/>
        </w:numPr>
        <w:bidi w:val="0"/>
      </w:pPr>
      <w:r>
        <w:t>舱内显控设备：1kg；</w:t>
      </w:r>
    </w:p>
    <w:p>
      <w:pPr>
        <w:pStyle w:val="40"/>
        <w:numPr>
          <w:ilvl w:val="0"/>
          <w:numId w:val="16"/>
        </w:numPr>
        <w:bidi w:val="0"/>
      </w:pPr>
      <w:r>
        <w:t>左挂架（含接收探头组、电池）：23kg；</w:t>
      </w:r>
    </w:p>
    <w:p>
      <w:pPr>
        <w:pStyle w:val="40"/>
        <w:numPr>
          <w:ilvl w:val="0"/>
          <w:numId w:val="16"/>
        </w:numPr>
        <w:bidi w:val="0"/>
      </w:pPr>
      <w:r>
        <w:t>右挂架（含控制主机、命中效果模拟装置、接收探头组、电池）：26kg。</w:t>
      </w:r>
    </w:p>
    <w:p>
      <w:pPr>
        <w:pStyle w:val="37"/>
        <w:bidi w:val="0"/>
        <w:rPr>
          <w:szCs w:val="22"/>
        </w:rPr>
      </w:pPr>
      <w:bookmarkStart w:id="22" w:name="_Toc19102260"/>
      <w:bookmarkStart w:id="23" w:name="_Toc22378758"/>
      <w:r>
        <w:rPr>
          <w:szCs w:val="22"/>
        </w:rPr>
        <w:t>尺寸</w:t>
      </w:r>
      <w:bookmarkEnd w:id="22"/>
      <w:bookmarkEnd w:id="23"/>
    </w:p>
    <w:p>
      <w:pPr>
        <w:pStyle w:val="40"/>
        <w:numPr>
          <w:ilvl w:val="0"/>
          <w:numId w:val="17"/>
        </w:numPr>
        <w:bidi w:val="0"/>
      </w:pPr>
      <w:r>
        <w:t>左挂架：长×宽×高800×350×350mm；</w:t>
      </w:r>
    </w:p>
    <w:p>
      <w:pPr>
        <w:pStyle w:val="40"/>
        <w:numPr>
          <w:ilvl w:val="0"/>
          <w:numId w:val="17"/>
        </w:numPr>
        <w:bidi w:val="0"/>
      </w:pPr>
      <w:r>
        <w:t>右挂架：长×宽×高800×350×410mm；</w:t>
      </w:r>
    </w:p>
    <w:p>
      <w:pPr>
        <w:pStyle w:val="40"/>
        <w:numPr>
          <w:ilvl w:val="0"/>
          <w:numId w:val="17"/>
        </w:numPr>
        <w:bidi w:val="0"/>
      </w:pPr>
      <w:r>
        <w:t>舱内显控设备：长×宽×高150×130×50mm。</w:t>
      </w:r>
    </w:p>
    <w:p>
      <w:pPr>
        <w:pStyle w:val="37"/>
        <w:bidi w:val="0"/>
        <w:rPr>
          <w:szCs w:val="22"/>
        </w:rPr>
      </w:pPr>
      <w:bookmarkStart w:id="24" w:name="_Toc22378759"/>
      <w:bookmarkStart w:id="25" w:name="_Toc19102261"/>
      <w:r>
        <w:rPr>
          <w:szCs w:val="22"/>
        </w:rPr>
        <w:t>辅助管理</w:t>
      </w:r>
      <w:bookmarkEnd w:id="24"/>
      <w:bookmarkEnd w:id="25"/>
    </w:p>
    <w:p>
      <w:pPr>
        <w:pStyle w:val="40"/>
        <w:numPr>
          <w:ilvl w:val="0"/>
          <w:numId w:val="18"/>
        </w:numPr>
        <w:bidi w:val="0"/>
      </w:pPr>
      <w:r>
        <w:t>配置用于器材管理的无源RFID电子标签，标签内预置产品名称、产品编号、生产单位代字、所属单位代字等基本信息，标签类型和工作频率等参数与配套的器材信息化管理系统读写设备相一致；</w:t>
      </w:r>
    </w:p>
    <w:p>
      <w:pPr>
        <w:pStyle w:val="40"/>
        <w:numPr>
          <w:ilvl w:val="0"/>
          <w:numId w:val="18"/>
        </w:numPr>
        <w:bidi w:val="0"/>
      </w:pPr>
      <w:r>
        <w:t>产品在包装状态下通过配套的器材信息化管理系统出入库时，系统能读取RFID储存的相关信息。</w:t>
      </w:r>
    </w:p>
    <w:p>
      <w:pPr>
        <w:pStyle w:val="35"/>
        <w:bidi w:val="0"/>
      </w:pPr>
      <w:bookmarkStart w:id="26" w:name="_Toc22378760"/>
      <w:bookmarkStart w:id="27" w:name="_Toc8723463"/>
      <w:bookmarkStart w:id="28" w:name="_Toc19102262"/>
      <w:r>
        <w:t>接口</w:t>
      </w:r>
      <w:bookmarkEnd w:id="26"/>
      <w:bookmarkEnd w:id="27"/>
      <w:bookmarkEnd w:id="28"/>
    </w:p>
    <w:p>
      <w:pPr>
        <w:pStyle w:val="37"/>
        <w:bidi w:val="0"/>
      </w:pPr>
      <w:bookmarkStart w:id="29" w:name="_Toc22378761"/>
      <w:bookmarkStart w:id="30" w:name="_Toc19102263"/>
      <w:r>
        <w:t>激光光学接口</w:t>
      </w:r>
      <w:bookmarkEnd w:id="29"/>
      <w:bookmarkEnd w:id="30"/>
    </w:p>
    <w:p>
      <w:pPr>
        <w:pStyle w:val="46"/>
        <w:bidi w:val="0"/>
      </w:pPr>
      <w:r>
        <w:t>产品发射机和接收探头组的激光光学特性、编解码标准符合LSJT-JKXY-01《陆军实兵交战系统红外激光光学接口规范》的要求。</w:t>
      </w:r>
    </w:p>
    <w:p>
      <w:pPr>
        <w:pStyle w:val="37"/>
        <w:bidi w:val="0"/>
      </w:pPr>
      <w:bookmarkStart w:id="31" w:name="_Toc22378762"/>
      <w:bookmarkStart w:id="32" w:name="_Toc19102264"/>
      <w:r>
        <w:t>信息交互接口</w:t>
      </w:r>
      <w:bookmarkEnd w:id="31"/>
      <w:bookmarkEnd w:id="32"/>
    </w:p>
    <w:p>
      <w:pPr>
        <w:pStyle w:val="40"/>
        <w:numPr>
          <w:ilvl w:val="0"/>
          <w:numId w:val="19"/>
        </w:numPr>
        <w:bidi w:val="0"/>
      </w:pPr>
      <w:r>
        <w:t>产品与主控软件无线交互接口和协议满足LSJT-JKXY-03《陆军实兵交战系统宽带无线通信接口规范》中相关指令要求；</w:t>
      </w:r>
    </w:p>
    <w:p>
      <w:pPr>
        <w:pStyle w:val="40"/>
        <w:numPr>
          <w:ilvl w:val="0"/>
          <w:numId w:val="19"/>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产品与弹药输送车模拟终端无线交互接口和协议满足LSJT-JKXY-02《陆军实兵交战系统红外短距数据通信接口规范》和LSJT-JKXY-04《陆军实兵交战系统短距无线通信接口规范》中相关指令要求；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产品设计外部数据接口，满足主控软件在线升级和数据输入输出要求。</w:t>
      </w:r>
    </w:p>
    <w:p>
      <w:pPr>
        <w:pStyle w:val="35"/>
        <w:bidi w:val="0"/>
      </w:pPr>
      <w:bookmarkStart w:id="33" w:name="_Toc8723464"/>
      <w:bookmarkStart w:id="34" w:name="_Toc22378763"/>
      <w:bookmarkStart w:id="35" w:name="_Toc19102265"/>
      <w:r>
        <w:t>数据</w:t>
      </w:r>
      <w:bookmarkEnd w:id="33"/>
      <w:r>
        <w:t>存储</w:t>
      </w:r>
      <w:bookmarkEnd w:id="34"/>
      <w:bookmarkEnd w:id="35"/>
    </w:p>
    <w:p>
      <w:pPr>
        <w:pStyle w:val="40"/>
        <w:numPr>
          <w:ilvl w:val="0"/>
          <w:numId w:val="20"/>
        </w:numPr>
        <w:bidi w:val="0"/>
      </w:pPr>
      <w:r>
        <w:t>具备50条交战事件自动存储能力，存储信息在产品掉电后不丢失，通信恢复后可自主上传；</w:t>
      </w:r>
    </w:p>
    <w:p>
      <w:pPr>
        <w:pStyle w:val="40"/>
        <w:numPr>
          <w:ilvl w:val="0"/>
          <w:numId w:val="20"/>
        </w:numPr>
        <w:bidi w:val="0"/>
      </w:pPr>
      <w:r>
        <w:t>能实时显示当前未完成上传事件数量。</w:t>
      </w:r>
    </w:p>
    <w:bookmarkEnd w:id="0"/>
    <w:bookmarkEnd w:id="1"/>
    <w:p>
      <w:pPr>
        <w:pStyle w:val="35"/>
        <w:bidi w:val="0"/>
      </w:pPr>
      <w:bookmarkStart w:id="36" w:name="_Toc22379511"/>
      <w:bookmarkStart w:id="37"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1"/>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1"/>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1"/>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1"/>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1"/>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1"/>
        </w:numPr>
        <w:bidi w:val="0"/>
      </w:pPr>
      <w:r>
        <w:t>具有开机自检功能，检测内容包括火工品安装检测、定位状态检测等</w:t>
      </w:r>
    </w:p>
    <w:p>
      <w:pPr>
        <w:numPr>
          <w:ilvl w:val="0"/>
          <w:numId w:val="21"/>
        </w:numPr>
        <w:bidi w:val="0"/>
        <w:ind w:left="420" w:leftChars="0" w:hanging="420" w:firstLineChars="0"/>
      </w:pPr>
      <w:r>
        <w:rPr>
          <w:rFonts w:hint="eastAsia"/>
        </w:rPr>
        <w:t>产品能根据故障检测设备的测试指令自动完成故障定位输出，虚警率2%；</w:t>
      </w:r>
    </w:p>
    <w:p>
      <w:pPr>
        <w:numPr>
          <w:ilvl w:val="0"/>
          <w:numId w:val="21"/>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1"/>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1"/>
        </w:numPr>
        <w:bidi w:val="0"/>
        <w:ind w:left="420" w:leftChars="0" w:hanging="420" w:firstLineChars="0"/>
      </w:pPr>
      <w:r>
        <w:rPr>
          <w:rFonts w:hint="eastAsia"/>
        </w:rPr>
        <w:t>产品符合相应人眼危害距离要求；</w:t>
      </w:r>
    </w:p>
    <w:p>
      <w:pPr>
        <w:numPr>
          <w:ilvl w:val="0"/>
          <w:numId w:val="21"/>
        </w:numPr>
        <w:bidi w:val="0"/>
        <w:ind w:left="420" w:leftChars="0" w:hanging="420" w:firstLineChars="0"/>
      </w:pPr>
      <w:r>
        <w:rPr>
          <w:rFonts w:hint="eastAsia"/>
        </w:rPr>
        <w:t>产品火工品安装处有安全警示标志和操作规程；</w:t>
      </w:r>
    </w:p>
    <w:p>
      <w:pPr>
        <w:numPr>
          <w:ilvl w:val="0"/>
          <w:numId w:val="21"/>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1"/>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1"/>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1"/>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1"/>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bookmarkEnd w:id="36"/>
      <w:bookmarkEnd w:id="37"/>
      <w:bookmarkStart w:id="38" w:name="_Toc8916849"/>
      <w:bookmarkStart w:id="39" w:name="_Toc22379525"/>
      <w:bookmarkStart w:id="40" w:name="_Toc19102429"/>
    </w:p>
    <w:p>
      <w:pPr>
        <w:pStyle w:val="35"/>
        <w:bidi w:val="0"/>
      </w:pPr>
      <w:r>
        <w:t>电磁兼容性要求</w:t>
      </w:r>
      <w:bookmarkEnd w:id="38"/>
      <w:bookmarkEnd w:id="39"/>
      <w:bookmarkEnd w:id="40"/>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2"/>
        </w:numPr>
        <w:bidi w:val="0"/>
      </w:pPr>
      <w:r>
        <w:t>RS103电场辐射敏感度（10kHz～40GHz）：10V/m；</w:t>
      </w:r>
    </w:p>
    <w:p>
      <w:pPr>
        <w:pStyle w:val="40"/>
        <w:numPr>
          <w:ilvl w:val="0"/>
          <w:numId w:val="22"/>
        </w:numPr>
        <w:bidi w:val="0"/>
      </w:pPr>
      <w:r>
        <w:t>CS114电缆束注入传导敏感度（4kHz～400MHz）：曲线二；</w:t>
      </w:r>
    </w:p>
    <w:p>
      <w:pPr>
        <w:pStyle w:val="40"/>
        <w:numPr>
          <w:ilvl w:val="0"/>
          <w:numId w:val="22"/>
        </w:numPr>
        <w:bidi w:val="0"/>
      </w:pPr>
      <w:r>
        <w:t>CS115电缆束注入脉冲激励传导敏感度：5A；</w:t>
      </w:r>
    </w:p>
    <w:p>
      <w:pPr>
        <w:pStyle w:val="40"/>
        <w:numPr>
          <w:ilvl w:val="0"/>
          <w:numId w:val="22"/>
        </w:numPr>
        <w:bidi w:val="0"/>
      </w:pPr>
      <w:r>
        <w:t>CS116电缆和电源线阻尼正弦瞬态传导敏感度（10kHz～100MHz）：标准限值；</w:t>
      </w:r>
    </w:p>
    <w:p>
      <w:pPr>
        <w:pStyle w:val="40"/>
        <w:numPr>
          <w:ilvl w:val="0"/>
          <w:numId w:val="22"/>
        </w:numPr>
        <w:bidi w:val="0"/>
      </w:pPr>
      <w:r>
        <w:t>RE102电场辐射发射（10kHz～18GHz）：标准限值+20dB。</w:t>
      </w:r>
    </w:p>
    <w:p>
      <w:pPr>
        <w:pStyle w:val="35"/>
        <w:bidi w:val="0"/>
      </w:pPr>
      <w:bookmarkStart w:id="41" w:name="_Toc22376172"/>
      <w:bookmarkStart w:id="42" w:name="_Toc20341456"/>
      <w:bookmarkStart w:id="43" w:name="_Toc8723475"/>
      <w:r>
        <w:t>供电</w:t>
      </w:r>
      <w:bookmarkEnd w:id="41"/>
      <w:bookmarkEnd w:id="42"/>
      <w:bookmarkEnd w:id="43"/>
    </w:p>
    <w:p>
      <w:pPr>
        <w:pStyle w:val="40"/>
        <w:numPr>
          <w:ilvl w:val="0"/>
          <w:numId w:val="23"/>
        </w:numPr>
        <w:bidi w:val="0"/>
      </w:pPr>
      <w:r>
        <w:t>产品采用蓄电池供电；</w:t>
      </w:r>
    </w:p>
    <w:p>
      <w:pPr>
        <w:pStyle w:val="40"/>
        <w:numPr>
          <w:ilvl w:val="0"/>
          <w:numId w:val="23"/>
        </w:numPr>
        <w:bidi w:val="0"/>
      </w:pPr>
      <w:r>
        <w:t>电池容量满足连续工作时间</w:t>
      </w:r>
      <w:r>
        <w:rPr>
          <w:rFonts w:hint="eastAsia"/>
          <w:lang w:eastAsia="zh-CN"/>
        </w:rPr>
        <w:t>：</w:t>
      </w:r>
      <w:r>
        <w:t>6h（单组电池）要求；</w:t>
      </w:r>
    </w:p>
    <w:p>
      <w:pPr>
        <w:pStyle w:val="40"/>
        <w:numPr>
          <w:ilvl w:val="0"/>
          <w:numId w:val="23"/>
        </w:numPr>
        <w:bidi w:val="0"/>
      </w:pPr>
      <w:r>
        <w:t>单组电池充电时间：6h。</w:t>
      </w:r>
    </w:p>
    <w:p>
      <w:pPr>
        <w:pStyle w:val="35"/>
        <w:bidi w:val="0"/>
      </w:pPr>
      <w:bookmarkStart w:id="48" w:name="_GoBack"/>
      <w:bookmarkEnd w:id="48"/>
      <w:bookmarkStart w:id="44" w:name="_Toc22376173"/>
      <w:bookmarkStart w:id="45" w:name="_Toc20341457"/>
      <w:r>
        <w:t>安装使用</w:t>
      </w:r>
      <w:bookmarkEnd w:id="44"/>
      <w:bookmarkEnd w:id="45"/>
    </w:p>
    <w:p>
      <w:pPr>
        <w:pStyle w:val="40"/>
        <w:numPr>
          <w:ilvl w:val="0"/>
          <w:numId w:val="24"/>
        </w:numPr>
        <w:bidi w:val="0"/>
      </w:pPr>
      <w:r>
        <w:t>产品采用实装外挂式安装结构，能够双人完成安装，安装时间</w:t>
      </w:r>
      <w:r>
        <w:rPr>
          <w:rFonts w:hint="eastAsia"/>
          <w:lang w:eastAsia="zh-CN"/>
        </w:rPr>
        <w:t>：</w:t>
      </w:r>
      <w:r>
        <w:t>20</w:t>
      </w:r>
      <w:r>
        <w:rPr>
          <w:rFonts w:hint="eastAsia"/>
        </w:rPr>
        <w:t>min</w:t>
      </w:r>
      <w:r>
        <w:t>；</w:t>
      </w:r>
    </w:p>
    <w:p>
      <w:pPr>
        <w:pStyle w:val="40"/>
        <w:numPr>
          <w:ilvl w:val="0"/>
          <w:numId w:val="24"/>
        </w:numPr>
        <w:bidi w:val="0"/>
      </w:pPr>
      <w:r>
        <w:t>固定方式充分考虑牢固性和便携性要求，在飞机飞行过程中产品不出现松动、脱落等现象；</w:t>
      </w:r>
    </w:p>
    <w:p>
      <w:pPr>
        <w:pStyle w:val="40"/>
        <w:numPr>
          <w:ilvl w:val="0"/>
          <w:numId w:val="24"/>
        </w:numPr>
        <w:bidi w:val="0"/>
      </w:pPr>
      <w:r>
        <w:t>产品具有良好的气动外形，加装后及工作过程中满足直升机载重和重心要求；</w:t>
      </w:r>
    </w:p>
    <w:p>
      <w:pPr>
        <w:pStyle w:val="40"/>
        <w:numPr>
          <w:ilvl w:val="0"/>
          <w:numId w:val="24"/>
        </w:numPr>
        <w:bidi w:val="0"/>
      </w:pPr>
      <w:r>
        <w:t>产品左、右挂架设备能进行应急投放；</w:t>
      </w:r>
    </w:p>
    <w:p>
      <w:pPr>
        <w:pStyle w:val="40"/>
        <w:numPr>
          <w:ilvl w:val="0"/>
          <w:numId w:val="24"/>
        </w:numPr>
        <w:bidi w:val="0"/>
      </w:pPr>
      <w:r>
        <w:t>产品在使用和维护过程中，安全、可靠、方便，不能危及载机和人员安全，发烟装置不能产生明火，产生的力、光、声、烟不能影响飞行员的观察和操纵。</w:t>
      </w:r>
    </w:p>
    <w:p>
      <w:pPr>
        <w:pStyle w:val="35"/>
        <w:bidi w:val="0"/>
      </w:pPr>
      <w:bookmarkStart w:id="46" w:name="_Toc22379534"/>
      <w:bookmarkStart w:id="47" w:name="_Toc19102438"/>
      <w:r>
        <w:t>成套性</w:t>
      </w:r>
      <w:bookmarkEnd w:id="46"/>
      <w:bookmarkEnd w:id="47"/>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6"/>
        <w:gridCol w:w="2336"/>
        <w:gridCol w:w="658"/>
        <w:gridCol w:w="951"/>
        <w:gridCol w:w="4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410"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677"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410"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左挂架</w:t>
            </w:r>
          </w:p>
        </w:tc>
        <w:tc>
          <w:tcPr>
            <w:tcW w:w="677"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top w:val="single" w:color="000000" w:sz="12" w:space="0"/>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含接收探头组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右挂架</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含控制主机、命中效果模拟装置、接收探头组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3</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舱内显示设备</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套</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4</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内置于左挂架和右挂架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5</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电池充电器</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6</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火工品</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4</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w:t>
            </w:r>
            <w:r>
              <w:rPr>
                <w:rFonts w:hint="eastAsia" w:hAnsi="宋体" w:cs="宋体"/>
                <w:sz w:val="18"/>
                <w:szCs w:val="18"/>
              </w:rPr>
              <w:t>V</w:t>
            </w:r>
            <w:r>
              <w:rPr>
                <w:rFonts w:ascii="Calibri" w:hAnsi="Calibri" w:cs="Calibri"/>
                <w:sz w:val="18"/>
                <w:szCs w:val="18"/>
              </w:rPr>
              <w:t>型烟雾罐4个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7</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10</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11</w:t>
            </w:r>
          </w:p>
        </w:tc>
        <w:tc>
          <w:tcPr>
            <w:tcW w:w="2410"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677"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bottom w:val="single" w:color="000000" w:sz="12" w:space="0"/>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B643B02"/>
    <w:multiLevelType w:val="singleLevel"/>
    <w:tmpl w:val="0B643B02"/>
    <w:lvl w:ilvl="0" w:tentative="0">
      <w:start w:val="1"/>
      <w:numFmt w:val="lowerLetter"/>
      <w:lvlText w:val="%1)"/>
      <w:lvlJc w:val="left"/>
      <w:pPr>
        <w:tabs>
          <w:tab w:val="left" w:pos="800"/>
        </w:tabs>
        <w:ind w:left="800" w:hanging="400"/>
      </w:p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200816FC"/>
    <w:multiLevelType w:val="singleLevel"/>
    <w:tmpl w:val="200816FC"/>
    <w:lvl w:ilvl="0" w:tentative="0">
      <w:start w:val="1"/>
      <w:numFmt w:val="lowerLetter"/>
      <w:lvlText w:val="%1)"/>
      <w:lvlJc w:val="left"/>
      <w:pPr>
        <w:tabs>
          <w:tab w:val="left" w:pos="800"/>
        </w:tabs>
        <w:ind w:left="800" w:hanging="400"/>
      </w:p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8">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9">
    <w:nsid w:val="2C1E454C"/>
    <w:multiLevelType w:val="singleLevel"/>
    <w:tmpl w:val="2C1E454C"/>
    <w:lvl w:ilvl="0" w:tentative="0">
      <w:start w:val="1"/>
      <w:numFmt w:val="lowerLetter"/>
      <w:lvlText w:val="%1)"/>
      <w:lvlJc w:val="left"/>
      <w:pPr>
        <w:tabs>
          <w:tab w:val="left" w:pos="800"/>
        </w:tabs>
        <w:ind w:left="800" w:hanging="400"/>
      </w:pPr>
    </w:lvl>
  </w:abstractNum>
  <w:abstractNum w:abstractNumId="10">
    <w:nsid w:val="32F7596C"/>
    <w:multiLevelType w:val="singleLevel"/>
    <w:tmpl w:val="32F7596C"/>
    <w:lvl w:ilvl="0" w:tentative="0">
      <w:start w:val="1"/>
      <w:numFmt w:val="lowerLetter"/>
      <w:lvlText w:val="%1)"/>
      <w:lvlJc w:val="left"/>
      <w:pPr>
        <w:tabs>
          <w:tab w:val="left" w:pos="826"/>
        </w:tabs>
        <w:ind w:left="826" w:hanging="400"/>
      </w:pPr>
    </w:lvl>
  </w:abstractNum>
  <w:abstractNum w:abstractNumId="11">
    <w:nsid w:val="33580255"/>
    <w:multiLevelType w:val="singleLevel"/>
    <w:tmpl w:val="33580255"/>
    <w:lvl w:ilvl="0" w:tentative="0">
      <w:start w:val="1"/>
      <w:numFmt w:val="lowerLetter"/>
      <w:lvlText w:val="%1)"/>
      <w:lvlJc w:val="left"/>
      <w:pPr>
        <w:tabs>
          <w:tab w:val="left" w:pos="800"/>
        </w:tabs>
        <w:ind w:left="800" w:hanging="400"/>
      </w:pPr>
    </w:lvl>
  </w:abstractNum>
  <w:abstractNum w:abstractNumId="12">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3">
    <w:nsid w:val="3AA502D1"/>
    <w:multiLevelType w:val="singleLevel"/>
    <w:tmpl w:val="3AA502D1"/>
    <w:lvl w:ilvl="0" w:tentative="0">
      <w:start w:val="1"/>
      <w:numFmt w:val="lowerLetter"/>
      <w:lvlText w:val="%1)"/>
      <w:lvlJc w:val="left"/>
      <w:pPr>
        <w:tabs>
          <w:tab w:val="left" w:pos="800"/>
        </w:tabs>
        <w:ind w:left="800" w:hanging="400"/>
      </w:pPr>
    </w:lvl>
  </w:abstractNum>
  <w:abstractNum w:abstractNumId="14">
    <w:nsid w:val="3E614008"/>
    <w:multiLevelType w:val="singleLevel"/>
    <w:tmpl w:val="3E614008"/>
    <w:lvl w:ilvl="0" w:tentative="0">
      <w:start w:val="1"/>
      <w:numFmt w:val="lowerLetter"/>
      <w:lvlText w:val="%1)"/>
      <w:lvlJc w:val="left"/>
      <w:pPr>
        <w:tabs>
          <w:tab w:val="left" w:pos="800"/>
        </w:tabs>
        <w:ind w:left="800" w:hanging="400"/>
      </w:pPr>
    </w:lvl>
  </w:abstractNum>
  <w:abstractNum w:abstractNumId="15">
    <w:nsid w:val="3FD22E60"/>
    <w:multiLevelType w:val="singleLevel"/>
    <w:tmpl w:val="3FD22E60"/>
    <w:lvl w:ilvl="0" w:tentative="0">
      <w:start w:val="1"/>
      <w:numFmt w:val="lowerLetter"/>
      <w:lvlText w:val="%1)"/>
      <w:lvlJc w:val="left"/>
      <w:pPr>
        <w:tabs>
          <w:tab w:val="left" w:pos="800"/>
        </w:tabs>
        <w:ind w:left="800" w:hanging="400"/>
      </w:pPr>
    </w:lvl>
  </w:abstractNum>
  <w:abstractNum w:abstractNumId="16">
    <w:nsid w:val="41AC317E"/>
    <w:multiLevelType w:val="singleLevel"/>
    <w:tmpl w:val="41AC317E"/>
    <w:lvl w:ilvl="0" w:tentative="0">
      <w:start w:val="1"/>
      <w:numFmt w:val="lowerLetter"/>
      <w:lvlText w:val="%1)"/>
      <w:lvlJc w:val="left"/>
      <w:pPr>
        <w:tabs>
          <w:tab w:val="left" w:pos="800"/>
        </w:tabs>
        <w:ind w:left="800" w:hanging="400"/>
      </w:pPr>
    </w:lvl>
  </w:abstractNum>
  <w:abstractNum w:abstractNumId="17">
    <w:nsid w:val="49050609"/>
    <w:multiLevelType w:val="singleLevel"/>
    <w:tmpl w:val="49050609"/>
    <w:lvl w:ilvl="0" w:tentative="0">
      <w:start w:val="1"/>
      <w:numFmt w:val="lowerLetter"/>
      <w:lvlText w:val="%1)"/>
      <w:lvlJc w:val="left"/>
      <w:pPr>
        <w:tabs>
          <w:tab w:val="left" w:pos="826"/>
        </w:tabs>
        <w:ind w:left="826" w:hanging="400"/>
      </w:pPr>
    </w:lvl>
  </w:abstractNum>
  <w:abstractNum w:abstractNumId="18">
    <w:nsid w:val="4D6D17FE"/>
    <w:multiLevelType w:val="singleLevel"/>
    <w:tmpl w:val="4D6D17FE"/>
    <w:lvl w:ilvl="0" w:tentative="0">
      <w:start w:val="1"/>
      <w:numFmt w:val="lowerLetter"/>
      <w:lvlText w:val="%1)"/>
      <w:lvlJc w:val="left"/>
      <w:pPr>
        <w:tabs>
          <w:tab w:val="left" w:pos="800"/>
        </w:tabs>
        <w:ind w:left="800" w:hanging="400"/>
      </w:pPr>
    </w:lvl>
  </w:abstractNum>
  <w:abstractNum w:abstractNumId="19">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36519E6"/>
    <w:multiLevelType w:val="multilevel"/>
    <w:tmpl w:val="536519E6"/>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21">
    <w:nsid w:val="53996AF4"/>
    <w:multiLevelType w:val="singleLevel"/>
    <w:tmpl w:val="53996AF4"/>
    <w:lvl w:ilvl="0" w:tentative="0">
      <w:start w:val="1"/>
      <w:numFmt w:val="lowerLetter"/>
      <w:lvlText w:val="%1)"/>
      <w:lvlJc w:val="left"/>
      <w:pPr>
        <w:tabs>
          <w:tab w:val="left" w:pos="800"/>
        </w:tabs>
        <w:ind w:left="800" w:hanging="400"/>
      </w:pPr>
    </w:lvl>
  </w:abstractNum>
  <w:abstractNum w:abstractNumId="22">
    <w:nsid w:val="5A7E55D2"/>
    <w:multiLevelType w:val="singleLevel"/>
    <w:tmpl w:val="5A7E55D2"/>
    <w:lvl w:ilvl="0" w:tentative="0">
      <w:start w:val="1"/>
      <w:numFmt w:val="lowerLetter"/>
      <w:lvlText w:val="%1)"/>
      <w:lvlJc w:val="left"/>
      <w:pPr>
        <w:tabs>
          <w:tab w:val="left" w:pos="800"/>
        </w:tabs>
        <w:ind w:left="800" w:hanging="400"/>
      </w:pPr>
    </w:lvl>
  </w:abstractNum>
  <w:abstractNum w:abstractNumId="23">
    <w:nsid w:val="7A5846C8"/>
    <w:multiLevelType w:val="singleLevel"/>
    <w:tmpl w:val="7A5846C8"/>
    <w:lvl w:ilvl="0" w:tentative="0">
      <w:start w:val="1"/>
      <w:numFmt w:val="lowerLetter"/>
      <w:lvlText w:val="%1)"/>
      <w:lvlJc w:val="left"/>
      <w:pPr>
        <w:tabs>
          <w:tab w:val="left" w:pos="800"/>
        </w:tabs>
        <w:ind w:left="800" w:hanging="400"/>
      </w:pPr>
    </w:lvl>
  </w:abstractNum>
  <w:num w:numId="1">
    <w:abstractNumId w:val="8"/>
  </w:num>
  <w:num w:numId="2">
    <w:abstractNumId w:val="1"/>
  </w:num>
  <w:num w:numId="3">
    <w:abstractNumId w:val="0"/>
  </w:num>
  <w:num w:numId="4">
    <w:abstractNumId w:val="7"/>
  </w:num>
  <w:num w:numId="5">
    <w:abstractNumId w:val="6"/>
  </w:num>
  <w:num w:numId="6">
    <w:abstractNumId w:val="12"/>
  </w:num>
  <w:num w:numId="7">
    <w:abstractNumId w:val="19"/>
  </w:num>
  <w:num w:numId="8">
    <w:abstractNumId w:val="2"/>
  </w:num>
  <w:num w:numId="9">
    <w:abstractNumId w:val="23"/>
  </w:num>
  <w:num w:numId="10">
    <w:abstractNumId w:val="11"/>
  </w:num>
  <w:num w:numId="11">
    <w:abstractNumId w:val="20"/>
  </w:num>
  <w:num w:numId="12">
    <w:abstractNumId w:val="9"/>
  </w:num>
  <w:num w:numId="13">
    <w:abstractNumId w:val="22"/>
  </w:num>
  <w:num w:numId="14">
    <w:abstractNumId w:val="21"/>
  </w:num>
  <w:num w:numId="15">
    <w:abstractNumId w:val="3"/>
  </w:num>
  <w:num w:numId="16">
    <w:abstractNumId w:val="10"/>
  </w:num>
  <w:num w:numId="17">
    <w:abstractNumId w:val="17"/>
  </w:num>
  <w:num w:numId="18">
    <w:abstractNumId w:val="13"/>
  </w:num>
  <w:num w:numId="19">
    <w:abstractNumId w:val="16"/>
  </w:num>
  <w:num w:numId="20">
    <w:abstractNumId w:val="14"/>
  </w:num>
  <w:num w:numId="21">
    <w:abstractNumId w:val="4"/>
  </w:num>
  <w:num w:numId="22">
    <w:abstractNumId w:val="18"/>
    <w:lvlOverride w:ilvl="0">
      <w:startOverride w:val="1"/>
    </w:lvlOverride>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B5F01C8"/>
    <w:rsid w:val="0CB36566"/>
    <w:rsid w:val="0D070E08"/>
    <w:rsid w:val="0D2549DE"/>
    <w:rsid w:val="0D7633A7"/>
    <w:rsid w:val="0F915954"/>
    <w:rsid w:val="10123BFE"/>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E86131C"/>
    <w:rsid w:val="405A5CC5"/>
    <w:rsid w:val="40D90483"/>
    <w:rsid w:val="413D0443"/>
    <w:rsid w:val="418052FE"/>
    <w:rsid w:val="431525D7"/>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37449DE"/>
    <w:rsid w:val="648F5E02"/>
    <w:rsid w:val="6501186F"/>
    <w:rsid w:val="66DB718F"/>
    <w:rsid w:val="679A2E87"/>
    <w:rsid w:val="67AB6895"/>
    <w:rsid w:val="68D921A8"/>
    <w:rsid w:val="6A7841D9"/>
    <w:rsid w:val="6A8054B1"/>
    <w:rsid w:val="6B6D0362"/>
    <w:rsid w:val="6B993D4E"/>
    <w:rsid w:val="6CD602B7"/>
    <w:rsid w:val="6F5A1A33"/>
    <w:rsid w:val="6F625D9B"/>
    <w:rsid w:val="6FAF562B"/>
    <w:rsid w:val="70172C7A"/>
    <w:rsid w:val="709B5EE0"/>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 w:val="7E33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2020-07-26T06:15:19Z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