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迫击炮模拟终端 技术规格书</w:t>
      </w:r>
    </w:p>
    <w:tbl>
      <w:tblPr>
        <w:tblStyle w:val="2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2992"/>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2774"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675130" cy="2233295"/>
                  <wp:effectExtent l="0" t="0" r="0" b="14605"/>
                  <wp:docPr id="333" name="图片 333" descr="微信图片_2018082216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微信图片_20180822163438"/>
                          <pic:cNvPicPr>
                            <a:picLocks noChangeAspect="1"/>
                          </pic:cNvPicPr>
                        </pic:nvPicPr>
                        <pic:blipFill>
                          <a:blip r:embed="rId6"/>
                          <a:stretch>
                            <a:fillRect/>
                          </a:stretch>
                        </pic:blipFill>
                        <pic:spPr>
                          <a:xfrm>
                            <a:off x="0" y="0"/>
                            <a:ext cx="1675130" cy="2233295"/>
                          </a:xfrm>
                          <a:prstGeom prst="rect">
                            <a:avLst/>
                          </a:prstGeom>
                        </pic:spPr>
                      </pic:pic>
                    </a:graphicData>
                  </a:graphic>
                </wp:inline>
              </w:drawing>
            </w:r>
          </w:p>
        </w:tc>
        <w:tc>
          <w:tcPr>
            <w:tcW w:w="2992"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688465" cy="2826385"/>
                  <wp:effectExtent l="0" t="0" r="6985" b="12065"/>
                  <wp:docPr id="335" name="图片 335" descr="12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123321"/>
                          <pic:cNvPicPr>
                            <a:picLocks noChangeAspect="1"/>
                          </pic:cNvPicPr>
                        </pic:nvPicPr>
                        <pic:blipFill>
                          <a:blip r:embed="rId7"/>
                          <a:stretch>
                            <a:fillRect/>
                          </a:stretch>
                        </pic:blipFill>
                        <pic:spPr>
                          <a:xfrm>
                            <a:off x="0" y="0"/>
                            <a:ext cx="1688465" cy="2826385"/>
                          </a:xfrm>
                          <a:prstGeom prst="rect">
                            <a:avLst/>
                          </a:prstGeom>
                        </pic:spPr>
                      </pic:pic>
                    </a:graphicData>
                  </a:graphic>
                </wp:inline>
              </w:drawing>
            </w:r>
          </w:p>
        </w:tc>
        <w:tc>
          <w:tcPr>
            <w:tcW w:w="2992"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rPr>
              <w:drawing>
                <wp:inline distT="0" distB="0" distL="114300" distR="114300">
                  <wp:extent cx="1489075" cy="1983105"/>
                  <wp:effectExtent l="0" t="0" r="15875" b="17145"/>
                  <wp:docPr id="34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17"/>
                          <pic:cNvPicPr>
                            <a:picLocks noChangeAspect="1"/>
                          </pic:cNvPicPr>
                        </pic:nvPicPr>
                        <pic:blipFill>
                          <a:blip r:embed="rId8"/>
                          <a:stretch>
                            <a:fillRect/>
                          </a:stretch>
                        </pic:blipFill>
                        <pic:spPr>
                          <a:xfrm>
                            <a:off x="0" y="0"/>
                            <a:ext cx="1489075" cy="1983105"/>
                          </a:xfrm>
                          <a:prstGeom prst="rect">
                            <a:avLst/>
                          </a:prstGeom>
                          <a:noFill/>
                          <a:ln>
                            <a:noFill/>
                          </a:ln>
                        </pic:spPr>
                      </pic:pic>
                    </a:graphicData>
                  </a:graphic>
                </wp:inline>
              </w:drawing>
            </w:r>
          </w:p>
        </w:tc>
      </w:tr>
    </w:tbl>
    <w:p>
      <w:pPr>
        <w:pStyle w:val="35"/>
        <w:bidi w:val="0"/>
      </w:pPr>
      <w:r>
        <w:rPr>
          <w:rFonts w:hint="eastAsia"/>
          <w:lang w:val="en-US" w:eastAsia="zh-CN"/>
        </w:rPr>
        <w:t>迫击炮模拟终端</w:t>
      </w:r>
      <w:r>
        <w:t>用途</w:t>
      </w:r>
    </w:p>
    <w:p>
      <w:pPr>
        <w:pStyle w:val="47"/>
        <w:bidi w:val="0"/>
      </w:pPr>
      <w:r>
        <w:t>组织开展实兵训练演习时，用于与参训人员穿戴的单兵装具绑定，模拟迫击炮的作战效能和效果。</w:t>
      </w:r>
    </w:p>
    <w:p>
      <w:pPr>
        <w:pStyle w:val="35"/>
        <w:bidi w:val="0"/>
      </w:pPr>
      <w:r>
        <w:rPr>
          <w:rFonts w:hint="eastAsia"/>
          <w:lang w:val="en-US" w:eastAsia="zh-CN"/>
        </w:rPr>
        <w:t>迫击炮模拟终端</w:t>
      </w:r>
      <w:r>
        <w:t>组成</w:t>
      </w:r>
    </w:p>
    <w:p>
      <w:pPr>
        <w:pStyle w:val="58"/>
        <w:spacing w:line="420" w:lineRule="exact"/>
        <w:ind w:right="-105"/>
        <w:rPr>
          <w:rFonts w:ascii="Calibri" w:hAnsi="Calibri" w:cs="Calibri"/>
        </w:rPr>
      </w:pPr>
      <w:bookmarkStart w:id="0" w:name="_Toc22379507"/>
      <w:bookmarkStart w:id="1" w:name="_Toc19102411"/>
      <w:r>
        <w:rPr>
          <w:rFonts w:ascii="Calibri" w:hAnsi="Calibri" w:cs="Calibri"/>
        </w:rPr>
        <w:t>产品主要由模拟弹、诸元显控设备、火工品和电池等组成，如下图所示：</w:t>
      </w:r>
    </w:p>
    <w:p>
      <w:pPr>
        <w:pStyle w:val="47"/>
        <w:bidi w:val="0"/>
        <w:jc w:val="center"/>
      </w:pPr>
      <w:r>
        <w:rPr>
          <w:rFonts w:ascii="Calibri" w:hAnsi="Calibri" w:cs="Calibri"/>
        </w:rPr>
        <w:object>
          <v:shape id="_x0000_i1025" o:spt="75" type="#_x0000_t75" style="height:169.45pt;width:156.45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p>
      <w:pPr>
        <w:pStyle w:val="35"/>
        <w:bidi w:val="0"/>
      </w:pPr>
      <w:r>
        <w:rPr>
          <w:rFonts w:hint="eastAsia"/>
          <w:lang w:val="en-US" w:eastAsia="zh-CN"/>
        </w:rPr>
        <w:t>迫击炮模拟终端功能</w:t>
      </w:r>
    </w:p>
    <w:p>
      <w:pPr>
        <w:pStyle w:val="37"/>
        <w:bidi w:val="0"/>
      </w:pPr>
      <w:bookmarkStart w:id="2" w:name="_Toc20344181"/>
      <w:bookmarkStart w:id="3" w:name="_Toc20341545"/>
      <w:bookmarkStart w:id="4" w:name="_Toc22376297"/>
      <w:r>
        <w:t>火力效能模拟</w:t>
      </w:r>
      <w:bookmarkEnd w:id="2"/>
      <w:bookmarkEnd w:id="3"/>
      <w:bookmarkEnd w:id="4"/>
    </w:p>
    <w:p>
      <w:pPr>
        <w:pStyle w:val="40"/>
        <w:numPr>
          <w:ilvl w:val="0"/>
          <w:numId w:val="9"/>
        </w:numPr>
        <w:bidi w:val="0"/>
      </w:pPr>
      <w:r>
        <w:t>能模拟武器各型弹药对战场目标的火力打击效能；</w:t>
      </w:r>
    </w:p>
    <w:p>
      <w:pPr>
        <w:pStyle w:val="40"/>
        <w:numPr>
          <w:ilvl w:val="0"/>
          <w:numId w:val="9"/>
        </w:numPr>
        <w:bidi w:val="0"/>
      </w:pPr>
      <w:r>
        <w:t>能模拟武器发射不同弹药的有效射程；</w:t>
      </w:r>
    </w:p>
    <w:p>
      <w:pPr>
        <w:pStyle w:val="40"/>
        <w:numPr>
          <w:ilvl w:val="0"/>
          <w:numId w:val="9"/>
        </w:numPr>
        <w:bidi w:val="0"/>
      </w:pPr>
      <w:r>
        <w:t>能体现弹丸飞行时间对命中显示的影响；</w:t>
      </w:r>
    </w:p>
    <w:p>
      <w:pPr>
        <w:pStyle w:val="40"/>
        <w:numPr>
          <w:ilvl w:val="0"/>
          <w:numId w:val="9"/>
        </w:numPr>
        <w:bidi w:val="0"/>
      </w:pPr>
      <w:r>
        <w:t>能体现地形对弹丸飞行轨迹的影响；</w:t>
      </w:r>
    </w:p>
    <w:p>
      <w:pPr>
        <w:pStyle w:val="40"/>
        <w:numPr>
          <w:ilvl w:val="0"/>
          <w:numId w:val="9"/>
        </w:numPr>
        <w:bidi w:val="0"/>
      </w:pPr>
      <w:r>
        <w:t>在有效射程内，产品落点散布与实际基本一致。</w:t>
      </w:r>
    </w:p>
    <w:p>
      <w:pPr>
        <w:pStyle w:val="37"/>
        <w:bidi w:val="0"/>
        <w:rPr>
          <w:szCs w:val="22"/>
        </w:rPr>
      </w:pPr>
      <w:bookmarkStart w:id="5" w:name="_Toc20344182"/>
      <w:bookmarkStart w:id="6" w:name="_Toc22376298"/>
      <w:bookmarkStart w:id="7" w:name="_Toc20341546"/>
      <w:r>
        <w:rPr>
          <w:szCs w:val="22"/>
        </w:rPr>
        <w:t>发射控制</w:t>
      </w:r>
      <w:bookmarkEnd w:id="5"/>
      <w:bookmarkEnd w:id="6"/>
      <w:bookmarkEnd w:id="7"/>
    </w:p>
    <w:p>
      <w:pPr>
        <w:pStyle w:val="40"/>
        <w:numPr>
          <w:ilvl w:val="0"/>
          <w:numId w:val="10"/>
        </w:numPr>
        <w:bidi w:val="0"/>
      </w:pPr>
      <w:r>
        <w:t>能接收单兵装具发出的控制指令，实现发射功能的锁定和解锁；</w:t>
      </w:r>
    </w:p>
    <w:p>
      <w:pPr>
        <w:pStyle w:val="40"/>
        <w:numPr>
          <w:ilvl w:val="0"/>
          <w:numId w:val="10"/>
        </w:numPr>
        <w:bidi w:val="0"/>
      </w:pPr>
      <w:r>
        <w:t>能接收单兵装具发送的弹量信息，实现发射功能的锁定和解锁：当弹量为0时，锁定发射功能；当弹量不为0时，解锁发射功能；</w:t>
      </w:r>
    </w:p>
    <w:p>
      <w:pPr>
        <w:pStyle w:val="40"/>
        <w:numPr>
          <w:ilvl w:val="0"/>
          <w:numId w:val="10"/>
        </w:numPr>
        <w:bidi w:val="0"/>
      </w:pPr>
      <w:r>
        <w:t>能根据与单兵装具连接状态，实现发射功能的锁定和解锁；</w:t>
      </w:r>
    </w:p>
    <w:p>
      <w:pPr>
        <w:pStyle w:val="40"/>
        <w:numPr>
          <w:ilvl w:val="0"/>
          <w:numId w:val="10"/>
        </w:numPr>
        <w:bidi w:val="0"/>
      </w:pPr>
      <w:r>
        <w:t>具有模拟弹装填检测功能，未装填时，锁定发射功能；</w:t>
      </w:r>
    </w:p>
    <w:p>
      <w:pPr>
        <w:pStyle w:val="40"/>
        <w:numPr>
          <w:ilvl w:val="0"/>
          <w:numId w:val="10"/>
        </w:numPr>
        <w:bidi w:val="0"/>
        <w:rPr>
          <w:rFonts w:cs="Calibri"/>
        </w:rPr>
      </w:pPr>
      <w:r>
        <w:t>能通过诸元显控设备采集射击诸元信息。</w:t>
      </w:r>
    </w:p>
    <w:p>
      <w:pPr>
        <w:pStyle w:val="37"/>
        <w:bidi w:val="0"/>
        <w:rPr>
          <w:szCs w:val="22"/>
        </w:rPr>
      </w:pPr>
      <w:bookmarkStart w:id="8" w:name="_Toc20344183"/>
      <w:bookmarkStart w:id="9" w:name="_Toc20341547"/>
      <w:bookmarkStart w:id="10" w:name="_Toc22376299"/>
      <w:r>
        <w:rPr>
          <w:szCs w:val="22"/>
        </w:rPr>
        <w:t>发射指示</w:t>
      </w:r>
      <w:bookmarkEnd w:id="8"/>
      <w:bookmarkEnd w:id="9"/>
      <w:bookmarkEnd w:id="10"/>
    </w:p>
    <w:p>
      <w:pPr>
        <w:pStyle w:val="40"/>
        <w:numPr>
          <w:ilvl w:val="0"/>
          <w:numId w:val="11"/>
        </w:numPr>
        <w:bidi w:val="0"/>
      </w:pPr>
      <w:r>
        <w:t>能通过诸元显控设备显示有效发射状态；</w:t>
      </w:r>
    </w:p>
    <w:p>
      <w:pPr>
        <w:pStyle w:val="40"/>
        <w:numPr>
          <w:ilvl w:val="0"/>
          <w:numId w:val="11"/>
        </w:numPr>
        <w:bidi w:val="0"/>
      </w:pPr>
      <w:r>
        <w:t>能通过声光弹模拟武器发射时的暴露征候。</w:t>
      </w:r>
    </w:p>
    <w:p>
      <w:pPr>
        <w:pStyle w:val="37"/>
        <w:bidi w:val="0"/>
        <w:rPr>
          <w:szCs w:val="22"/>
        </w:rPr>
      </w:pPr>
      <w:bookmarkStart w:id="11" w:name="_Toc22376300"/>
      <w:bookmarkStart w:id="12" w:name="_Toc20341548"/>
      <w:bookmarkStart w:id="13" w:name="_Toc20344184"/>
      <w:r>
        <w:rPr>
          <w:szCs w:val="22"/>
        </w:rPr>
        <w:t>告警提示</w:t>
      </w:r>
      <w:bookmarkEnd w:id="11"/>
      <w:bookmarkEnd w:id="12"/>
      <w:bookmarkEnd w:id="13"/>
    </w:p>
    <w:p>
      <w:pPr>
        <w:pStyle w:val="47"/>
        <w:bidi w:val="0"/>
      </w:pPr>
      <w:r>
        <w:t>能通过诸元显控设备对供电状态、设备故障、弹药消耗完毕等情况进行告警提示。</w:t>
      </w:r>
    </w:p>
    <w:p>
      <w:pPr>
        <w:pStyle w:val="37"/>
        <w:bidi w:val="0"/>
        <w:rPr>
          <w:szCs w:val="22"/>
        </w:rPr>
      </w:pPr>
      <w:bookmarkStart w:id="14" w:name="_Toc20341549"/>
      <w:bookmarkStart w:id="15" w:name="_Toc20344185"/>
      <w:bookmarkStart w:id="16" w:name="_Toc22376301"/>
      <w:r>
        <w:rPr>
          <w:szCs w:val="22"/>
        </w:rPr>
        <w:t>昼夜模式切换</w:t>
      </w:r>
      <w:bookmarkEnd w:id="14"/>
      <w:bookmarkEnd w:id="15"/>
      <w:bookmarkEnd w:id="16"/>
    </w:p>
    <w:p>
      <w:pPr>
        <w:pStyle w:val="47"/>
        <w:bidi w:val="0"/>
      </w:pPr>
      <w:r>
        <w:t>能接收单兵装具发送的控制信息，实现昼夜模式切换，能自动</w:t>
      </w:r>
      <w:r>
        <w:rPr>
          <w:rFonts w:hint="eastAsia"/>
        </w:rPr>
        <w:t>调节</w:t>
      </w:r>
      <w:r>
        <w:t>相关状态指示灯亮度。</w:t>
      </w:r>
    </w:p>
    <w:p>
      <w:pPr>
        <w:pStyle w:val="47"/>
        <w:bidi w:val="0"/>
        <w:rPr>
          <w:rFonts w:hint="eastAsia"/>
        </w:rPr>
      </w:pPr>
      <w:r>
        <w:rPr>
          <w:rFonts w:hint="eastAsia"/>
        </w:rPr>
        <w:t>a) 产品能响应远程或现地模式切换指令，自动完成昼夜模式切换；</w:t>
      </w:r>
    </w:p>
    <w:p>
      <w:pPr>
        <w:pStyle w:val="47"/>
        <w:bidi w:val="0"/>
      </w:pPr>
      <w:r>
        <w:rPr>
          <w:rFonts w:hint="eastAsia"/>
        </w:rPr>
        <w:t>b) 产品进入夜间模式时，能自动调低相关状态指示灯亮度。</w:t>
      </w:r>
    </w:p>
    <w:p>
      <w:pPr>
        <w:pStyle w:val="37"/>
        <w:bidi w:val="0"/>
        <w:rPr>
          <w:szCs w:val="22"/>
        </w:rPr>
      </w:pPr>
      <w:bookmarkStart w:id="17" w:name="_Toc22376302"/>
      <w:bookmarkStart w:id="18" w:name="_Toc20341550"/>
      <w:bookmarkStart w:id="19" w:name="_Toc20344186"/>
      <w:r>
        <w:rPr>
          <w:szCs w:val="22"/>
        </w:rPr>
        <w:t>信息交互</w:t>
      </w:r>
      <w:bookmarkEnd w:id="17"/>
      <w:bookmarkEnd w:id="18"/>
      <w:bookmarkEnd w:id="19"/>
    </w:p>
    <w:p>
      <w:pPr>
        <w:pStyle w:val="40"/>
        <w:numPr>
          <w:ilvl w:val="0"/>
          <w:numId w:val="12"/>
        </w:numPr>
        <w:bidi w:val="0"/>
      </w:pPr>
      <w:r>
        <w:t>能与单兵装具建立无线连接，无线通信距离位于1～5m之间；</w:t>
      </w:r>
    </w:p>
    <w:p>
      <w:pPr>
        <w:pStyle w:val="40"/>
        <w:numPr>
          <w:ilvl w:val="0"/>
          <w:numId w:val="12"/>
        </w:numPr>
        <w:bidi w:val="0"/>
      </w:pPr>
      <w:r>
        <w:t>能接收单兵装具发出的弹药设置指令，实现模拟装弹；</w:t>
      </w:r>
    </w:p>
    <w:p>
      <w:pPr>
        <w:pStyle w:val="40"/>
        <w:numPr>
          <w:ilvl w:val="0"/>
          <w:numId w:val="12"/>
        </w:numPr>
        <w:bidi w:val="0"/>
      </w:pPr>
      <w:r>
        <w:t>能通过无线方式实时向单兵装具上传武器发射、弹药消耗、剩余电量等信息。</w:t>
      </w:r>
    </w:p>
    <w:p>
      <w:pPr>
        <w:pStyle w:val="37"/>
        <w:bidi w:val="0"/>
        <w:rPr>
          <w:szCs w:val="22"/>
        </w:rPr>
      </w:pPr>
      <w:bookmarkStart w:id="20" w:name="_Toc20344187"/>
      <w:bookmarkStart w:id="21" w:name="_Toc20341551"/>
      <w:bookmarkStart w:id="22" w:name="_Toc22376303"/>
      <w:r>
        <w:rPr>
          <w:szCs w:val="22"/>
        </w:rPr>
        <w:t>重量</w:t>
      </w:r>
      <w:bookmarkEnd w:id="20"/>
      <w:bookmarkEnd w:id="21"/>
      <w:bookmarkEnd w:id="22"/>
    </w:p>
    <w:p>
      <w:pPr>
        <w:pStyle w:val="47"/>
        <w:bidi w:val="0"/>
      </w:pPr>
      <w:r>
        <w:t>3kg。（含电池）</w:t>
      </w:r>
    </w:p>
    <w:p>
      <w:pPr>
        <w:pStyle w:val="37"/>
        <w:bidi w:val="0"/>
        <w:rPr>
          <w:szCs w:val="22"/>
        </w:rPr>
      </w:pPr>
      <w:bookmarkStart w:id="23" w:name="_Toc20341552"/>
      <w:bookmarkStart w:id="24" w:name="_Toc22376304"/>
      <w:bookmarkStart w:id="25" w:name="_Toc20344188"/>
      <w:r>
        <w:rPr>
          <w:szCs w:val="22"/>
        </w:rPr>
        <w:t>辅助管理</w:t>
      </w:r>
      <w:bookmarkEnd w:id="23"/>
      <w:bookmarkEnd w:id="24"/>
      <w:bookmarkEnd w:id="25"/>
    </w:p>
    <w:p>
      <w:pPr>
        <w:pStyle w:val="40"/>
        <w:numPr>
          <w:ilvl w:val="0"/>
          <w:numId w:val="13"/>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3"/>
        </w:numPr>
        <w:bidi w:val="0"/>
      </w:pPr>
      <w:r>
        <w:t>产品在包装状态下通过配套的器材信息化管理系统出入库时，系统能读取RFID储存的相关信息。</w:t>
      </w:r>
    </w:p>
    <w:p>
      <w:pPr>
        <w:pStyle w:val="37"/>
        <w:bidi w:val="0"/>
        <w:rPr>
          <w:rFonts w:hint="eastAsia"/>
          <w:lang w:val="en-US" w:eastAsia="zh-CN"/>
        </w:rPr>
      </w:pPr>
      <w:r>
        <w:rPr>
          <w:rFonts w:hint="eastAsia"/>
          <w:lang w:val="en-US" w:eastAsia="zh-CN"/>
        </w:rPr>
        <w:t>毁伤模拟</w:t>
      </w:r>
    </w:p>
    <w:p>
      <w:pPr>
        <w:pStyle w:val="40"/>
        <w:numPr>
          <w:ilvl w:val="0"/>
          <w:numId w:val="14"/>
        </w:numPr>
        <w:bidi w:val="0"/>
        <w:rPr>
          <w:rFonts w:hint="eastAsia"/>
        </w:rPr>
      </w:pPr>
      <w:r>
        <w:rPr>
          <w:rFonts w:hint="eastAsia"/>
        </w:rPr>
        <w:t>产品能模拟武器被各类直瞄、间瞄和地爆等有效武器打击后的杀伤效果，模拟毁伤输出包括受损和全毁；</w:t>
      </w:r>
    </w:p>
    <w:p>
      <w:pPr>
        <w:pStyle w:val="40"/>
        <w:numPr>
          <w:ilvl w:val="0"/>
          <w:numId w:val="14"/>
        </w:numPr>
        <w:bidi w:val="0"/>
        <w:rPr>
          <w:rFonts w:hint="eastAsia"/>
        </w:rPr>
      </w:pPr>
      <w:r>
        <w:rPr>
          <w:rFonts w:hint="eastAsia"/>
        </w:rPr>
        <w:t>产品具备水平360°，垂直±45°的激光接收能力；</w:t>
      </w:r>
    </w:p>
    <w:p>
      <w:pPr>
        <w:pStyle w:val="40"/>
        <w:numPr>
          <w:ilvl w:val="0"/>
          <w:numId w:val="14"/>
        </w:numPr>
        <w:bidi w:val="0"/>
        <w:rPr>
          <w:rFonts w:hint="eastAsia"/>
        </w:rPr>
      </w:pPr>
      <w:r>
        <w:rPr>
          <w:rFonts w:hint="eastAsia"/>
        </w:rPr>
        <w:t>产品激光接收器在接收到有效数据4字节的数据帧时，解码时间10ms；</w:t>
      </w:r>
    </w:p>
    <w:p>
      <w:pPr>
        <w:pStyle w:val="40"/>
        <w:numPr>
          <w:ilvl w:val="0"/>
          <w:numId w:val="14"/>
        </w:numPr>
        <w:bidi w:val="0"/>
        <w:rPr>
          <w:rFonts w:hint="eastAsia"/>
        </w:rPr>
      </w:pPr>
      <w:r>
        <w:rPr>
          <w:rFonts w:hint="eastAsia"/>
        </w:rPr>
        <w:t>在频率1KHz，脉宽2us的噪声干扰背景下，产品激光接收解码成功率99%；</w:t>
      </w:r>
    </w:p>
    <w:p>
      <w:pPr>
        <w:pStyle w:val="40"/>
        <w:numPr>
          <w:ilvl w:val="0"/>
          <w:numId w:val="14"/>
        </w:numPr>
        <w:bidi w:val="0"/>
      </w:pPr>
      <w:r>
        <w:rPr>
          <w:rFonts w:hint="eastAsia"/>
        </w:rPr>
        <w:t>产品提供软件升级外部接口，满足毁伤模型快速更新要求。</w:t>
      </w:r>
    </w:p>
    <w:p>
      <w:pPr>
        <w:pStyle w:val="37"/>
        <w:bidi w:val="0"/>
        <w:rPr>
          <w:rFonts w:hint="eastAsia"/>
          <w:lang w:val="en-US" w:eastAsia="zh-CN"/>
        </w:rPr>
      </w:pPr>
      <w:r>
        <w:rPr>
          <w:rFonts w:hint="eastAsia"/>
          <w:lang w:val="en-US" w:eastAsia="zh-CN"/>
        </w:rPr>
        <w:t>工作状态类型</w:t>
      </w:r>
    </w:p>
    <w:p>
      <w:pPr>
        <w:ind w:firstLine="560" w:firstLineChars="200"/>
        <w:rPr>
          <w:rFonts w:hint="eastAsia"/>
          <w:lang w:val="en-US" w:eastAsia="zh-CN"/>
        </w:rPr>
      </w:pPr>
      <w:r>
        <w:rPr>
          <w:rFonts w:hint="eastAsia"/>
          <w:lang w:val="en-US" w:eastAsia="zh-CN"/>
        </w:rPr>
        <w:t>产品包含训练状态与演习状态。</w:t>
      </w:r>
    </w:p>
    <w:p>
      <w:pPr>
        <w:pStyle w:val="35"/>
        <w:bidi w:val="0"/>
      </w:pPr>
      <w:bookmarkStart w:id="26" w:name="_Toc20344189"/>
      <w:bookmarkStart w:id="27" w:name="_Toc20341553"/>
      <w:bookmarkStart w:id="28" w:name="_Toc22376305"/>
      <w:r>
        <w:t>信息交互接口</w:t>
      </w:r>
      <w:bookmarkEnd w:id="26"/>
      <w:bookmarkEnd w:id="27"/>
      <w:bookmarkEnd w:id="28"/>
    </w:p>
    <w:p>
      <w:pPr>
        <w:pStyle w:val="47"/>
        <w:bidi w:val="0"/>
        <w:rPr>
          <w:rFonts w:ascii="Calibri" w:hAnsi="Calibri" w:cs="Calibri"/>
        </w:rPr>
      </w:pPr>
      <w:r>
        <w:rPr>
          <w:rStyle w:val="52"/>
        </w:rPr>
        <w:t>产品通</w:t>
      </w:r>
      <w:r>
        <w:rPr>
          <w:rFonts w:ascii="Calibri" w:hAnsi="Calibri" w:cs="Calibri"/>
        </w:rPr>
        <w:t>过单兵装具与主控软件进行无线交互，无线交互接口和协议满足LSJT-JKXY-03《陆军实兵交战系统宽带无线通信接口规范》中相关指令要求。</w:t>
      </w:r>
    </w:p>
    <w:p>
      <w:pPr>
        <w:pStyle w:val="35"/>
        <w:bidi w:val="0"/>
      </w:pPr>
      <w:bookmarkStart w:id="29" w:name="_Toc20344190"/>
      <w:bookmarkStart w:id="30" w:name="_Toc22376306"/>
      <w:bookmarkStart w:id="31" w:name="_Toc20341554"/>
      <w:r>
        <w:t>数据存储</w:t>
      </w:r>
      <w:bookmarkEnd w:id="29"/>
      <w:bookmarkEnd w:id="30"/>
      <w:bookmarkEnd w:id="31"/>
    </w:p>
    <w:p>
      <w:pPr>
        <w:pStyle w:val="40"/>
        <w:numPr>
          <w:ilvl w:val="0"/>
          <w:numId w:val="15"/>
        </w:numPr>
        <w:bidi w:val="0"/>
      </w:pPr>
      <w:r>
        <w:t>具备50条交战事件自动存储能力，存储信息在产品掉电后不丢失，通信恢复后可自主上传；</w:t>
      </w:r>
    </w:p>
    <w:p>
      <w:pPr>
        <w:pStyle w:val="40"/>
        <w:numPr>
          <w:ilvl w:val="0"/>
          <w:numId w:val="15"/>
        </w:numPr>
        <w:bidi w:val="0"/>
      </w:pPr>
      <w:r>
        <w:t>产品能实时显示当前未完成上传事件数量。</w:t>
      </w:r>
    </w:p>
    <w:bookmarkEnd w:id="0"/>
    <w:bookmarkEnd w:id="1"/>
    <w:p>
      <w:pPr>
        <w:pStyle w:val="35"/>
        <w:bidi w:val="0"/>
      </w:pPr>
      <w:bookmarkStart w:id="32" w:name="_Toc19102415"/>
      <w:bookmarkStart w:id="33"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6"/>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6"/>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6"/>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6"/>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6"/>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6"/>
        </w:numPr>
        <w:bidi w:val="0"/>
      </w:pPr>
      <w:r>
        <w:t>具有开机自检功能，检测内容包括火工品安装检测、定位状态检测等</w:t>
      </w:r>
    </w:p>
    <w:p>
      <w:pPr>
        <w:numPr>
          <w:ilvl w:val="0"/>
          <w:numId w:val="16"/>
        </w:numPr>
        <w:bidi w:val="0"/>
        <w:ind w:left="420" w:leftChars="0" w:hanging="420" w:firstLineChars="0"/>
      </w:pPr>
      <w:r>
        <w:rPr>
          <w:rFonts w:hint="eastAsia"/>
        </w:rPr>
        <w:t>产品能根据故障检测设备的测试指令自动完成故障定位输出，虚警率2%；</w:t>
      </w:r>
    </w:p>
    <w:p>
      <w:pPr>
        <w:numPr>
          <w:ilvl w:val="0"/>
          <w:numId w:val="16"/>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6"/>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6"/>
        </w:numPr>
        <w:bidi w:val="0"/>
        <w:ind w:left="420" w:leftChars="0" w:hanging="420" w:firstLineChars="0"/>
      </w:pPr>
      <w:r>
        <w:rPr>
          <w:rFonts w:hint="eastAsia"/>
        </w:rPr>
        <w:t>产品符合相应人眼危害距离要求；</w:t>
      </w:r>
    </w:p>
    <w:p>
      <w:pPr>
        <w:numPr>
          <w:ilvl w:val="0"/>
          <w:numId w:val="16"/>
        </w:numPr>
        <w:bidi w:val="0"/>
        <w:ind w:left="420" w:leftChars="0" w:hanging="420" w:firstLineChars="0"/>
      </w:pPr>
      <w:r>
        <w:rPr>
          <w:rFonts w:hint="eastAsia"/>
        </w:rPr>
        <w:t>产品火工品安装处有安全警示标志和操作规程；</w:t>
      </w:r>
    </w:p>
    <w:p>
      <w:pPr>
        <w:numPr>
          <w:ilvl w:val="0"/>
          <w:numId w:val="16"/>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6"/>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6"/>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6"/>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6"/>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32"/>
    <w:bookmarkEnd w:id="33"/>
    <w:p>
      <w:pPr>
        <w:pStyle w:val="35"/>
        <w:bidi w:val="0"/>
      </w:pPr>
      <w:bookmarkStart w:id="34" w:name="_Toc20238393"/>
      <w:bookmarkStart w:id="35" w:name="_Toc20344090"/>
      <w:bookmarkStart w:id="36" w:name="_Toc22376455"/>
      <w:bookmarkStart w:id="37" w:name="_Toc19102429"/>
      <w:bookmarkStart w:id="38" w:name="_Toc22379525"/>
      <w:bookmarkStart w:id="39" w:name="_Toc8916849"/>
      <w:r>
        <w:rPr>
          <w:rFonts w:hint="eastAsia"/>
        </w:rPr>
        <w:t>扩展性</w:t>
      </w:r>
      <w:bookmarkEnd w:id="34"/>
      <w:bookmarkEnd w:id="35"/>
      <w:bookmarkEnd w:id="36"/>
    </w:p>
    <w:p>
      <w:pPr>
        <w:pStyle w:val="47"/>
        <w:bidi w:val="0"/>
      </w:pPr>
      <w:r>
        <w:rPr>
          <w:rFonts w:hint="eastAsia"/>
        </w:rPr>
        <w:t>能接收主控软件下发的我军及外军同类武器火力和防护性能参数配置指令，并能按配置要求完成我军及外军迫击炮效能模拟。</w:t>
      </w:r>
    </w:p>
    <w:p>
      <w:pPr>
        <w:pStyle w:val="35"/>
        <w:bidi w:val="0"/>
      </w:pPr>
      <w:r>
        <w:t>电磁兼容性要求</w:t>
      </w:r>
      <w:bookmarkEnd w:id="37"/>
      <w:bookmarkEnd w:id="38"/>
      <w:bookmarkEnd w:id="39"/>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7"/>
        </w:numPr>
        <w:bidi w:val="0"/>
      </w:pPr>
      <w:r>
        <w:t>RS103电场辐射敏感度（10kHz～40GHz）：10V/m；</w:t>
      </w:r>
    </w:p>
    <w:p>
      <w:pPr>
        <w:pStyle w:val="40"/>
        <w:numPr>
          <w:ilvl w:val="0"/>
          <w:numId w:val="17"/>
        </w:numPr>
        <w:bidi w:val="0"/>
      </w:pPr>
      <w:r>
        <w:t>CS114电缆束注入传导敏感度（4kHz～400MHz）：曲线二；</w:t>
      </w:r>
    </w:p>
    <w:p>
      <w:pPr>
        <w:pStyle w:val="40"/>
        <w:numPr>
          <w:ilvl w:val="0"/>
          <w:numId w:val="17"/>
        </w:numPr>
        <w:bidi w:val="0"/>
      </w:pPr>
      <w:r>
        <w:t>CS115电缆束注入脉冲激励传导敏感度：5A；</w:t>
      </w:r>
    </w:p>
    <w:p>
      <w:pPr>
        <w:pStyle w:val="40"/>
        <w:numPr>
          <w:ilvl w:val="0"/>
          <w:numId w:val="17"/>
        </w:numPr>
        <w:bidi w:val="0"/>
      </w:pPr>
      <w:r>
        <w:t>CS116电缆和电源线阻尼正弦瞬态传导敏感度（10kHz～100MHz）：标准限值；</w:t>
      </w:r>
    </w:p>
    <w:p>
      <w:pPr>
        <w:pStyle w:val="40"/>
        <w:numPr>
          <w:ilvl w:val="0"/>
          <w:numId w:val="17"/>
        </w:numPr>
        <w:bidi w:val="0"/>
      </w:pPr>
      <w:r>
        <w:t>RE102电场辐射发射（10kHz～18GHz）：标准限值+20dB。</w:t>
      </w:r>
    </w:p>
    <w:p>
      <w:pPr>
        <w:pStyle w:val="35"/>
        <w:bidi w:val="0"/>
      </w:pPr>
      <w:bookmarkStart w:id="40" w:name="_Toc22376172"/>
      <w:bookmarkStart w:id="41" w:name="_Toc20341456"/>
      <w:bookmarkStart w:id="42" w:name="_Toc8723475"/>
      <w:r>
        <w:t>供电</w:t>
      </w:r>
      <w:bookmarkEnd w:id="40"/>
      <w:bookmarkEnd w:id="41"/>
      <w:bookmarkEnd w:id="42"/>
    </w:p>
    <w:p>
      <w:pPr>
        <w:pStyle w:val="40"/>
        <w:numPr>
          <w:ilvl w:val="0"/>
          <w:numId w:val="18"/>
        </w:numPr>
        <w:bidi w:val="0"/>
      </w:pPr>
      <w:r>
        <w:t>采用锂电池供电，规格参数符合GJB916B-2011《军用锂电池产品规范》的要求；</w:t>
      </w:r>
    </w:p>
    <w:p>
      <w:pPr>
        <w:pStyle w:val="40"/>
        <w:numPr>
          <w:ilvl w:val="0"/>
          <w:numId w:val="18"/>
        </w:numPr>
        <w:bidi w:val="0"/>
      </w:pPr>
      <w:r>
        <w:t>电池容量满足连续工作时间</w:t>
      </w:r>
      <w:r>
        <w:rPr>
          <w:rFonts w:hint="eastAsia"/>
          <w:lang w:eastAsia="zh-CN"/>
        </w:rPr>
        <w:t>：</w:t>
      </w:r>
      <w:r>
        <w:t>12h（单组电池）要求；</w:t>
      </w:r>
    </w:p>
    <w:p>
      <w:pPr>
        <w:pStyle w:val="40"/>
        <w:numPr>
          <w:ilvl w:val="0"/>
          <w:numId w:val="18"/>
        </w:numPr>
        <w:bidi w:val="0"/>
      </w:pPr>
      <w:r>
        <w:t>单组电池充电时间：6h；</w:t>
      </w:r>
    </w:p>
    <w:p>
      <w:pPr>
        <w:pStyle w:val="40"/>
        <w:numPr>
          <w:ilvl w:val="0"/>
          <w:numId w:val="18"/>
        </w:numPr>
        <w:bidi w:val="0"/>
      </w:pPr>
      <w:r>
        <w:t>产品提供1组备用电池，电池更换时间</w:t>
      </w:r>
      <w:r>
        <w:rPr>
          <w:rFonts w:hint="eastAsia"/>
          <w:lang w:eastAsia="zh-CN"/>
        </w:rPr>
        <w:t>：</w:t>
      </w:r>
      <w:r>
        <w:t>1min。</w:t>
      </w:r>
    </w:p>
    <w:p>
      <w:pPr>
        <w:pStyle w:val="35"/>
        <w:bidi w:val="0"/>
      </w:pPr>
      <w:bookmarkStart w:id="43" w:name="_Toc22376173"/>
      <w:bookmarkStart w:id="44" w:name="_Toc20341457"/>
      <w:r>
        <w:t>安装使用</w:t>
      </w:r>
      <w:bookmarkEnd w:id="43"/>
      <w:bookmarkEnd w:id="44"/>
    </w:p>
    <w:p>
      <w:pPr>
        <w:pStyle w:val="40"/>
        <w:numPr>
          <w:ilvl w:val="0"/>
          <w:numId w:val="19"/>
        </w:numPr>
        <w:bidi w:val="0"/>
      </w:pPr>
      <w:bookmarkStart w:id="45" w:name="_Toc19102438"/>
      <w:bookmarkStart w:id="46" w:name="_Toc22379534"/>
      <w:r>
        <w:t>产品安装后不妨碍实装使用，安装时间</w:t>
      </w:r>
      <w:r>
        <w:rPr>
          <w:rFonts w:hint="eastAsia"/>
          <w:lang w:eastAsia="zh-CN"/>
        </w:rPr>
        <w:t>：</w:t>
      </w:r>
      <w:r>
        <w:t>5min（2人）；</w:t>
      </w:r>
    </w:p>
    <w:p>
      <w:pPr>
        <w:pStyle w:val="40"/>
        <w:numPr>
          <w:ilvl w:val="0"/>
          <w:numId w:val="19"/>
        </w:numPr>
        <w:bidi w:val="0"/>
      </w:pPr>
      <w:r>
        <w:t>产品能够通过模拟弹装填触发迫击</w:t>
      </w:r>
      <w:bookmarkStart w:id="47" w:name="_GoBack"/>
      <w:bookmarkEnd w:id="47"/>
      <w:r>
        <w:t>炮发射。</w:t>
      </w:r>
    </w:p>
    <w:p>
      <w:pPr>
        <w:pStyle w:val="35"/>
        <w:bidi w:val="0"/>
      </w:pPr>
      <w:r>
        <w:t>成套性</w:t>
      </w:r>
      <w:bookmarkEnd w:id="45"/>
      <w:bookmarkEnd w:id="46"/>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78"/>
        <w:gridCol w:w="2023"/>
        <w:gridCol w:w="814"/>
        <w:gridCol w:w="948"/>
        <w:gridCol w:w="4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tcBorders>
              <w:top w:val="single" w:color="auto" w:sz="12" w:space="0"/>
              <w:bottom w:val="single" w:color="auto"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83" w:type="dxa"/>
            <w:tcBorders>
              <w:top w:val="single" w:color="auto" w:sz="12" w:space="0"/>
              <w:bottom w:val="single" w:color="auto"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34" w:type="dxa"/>
            <w:tcBorders>
              <w:top w:val="single" w:color="auto" w:sz="12" w:space="0"/>
              <w:bottom w:val="single" w:color="auto"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auto" w:sz="12" w:space="0"/>
              <w:bottom w:val="single" w:color="auto"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auto" w:sz="12" w:space="0"/>
              <w:bottom w:val="single" w:color="auto"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tcBorders>
              <w:top w:val="single" w:color="auto" w:sz="12" w:space="0"/>
            </w:tcBorders>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083" w:type="dxa"/>
            <w:tcBorders>
              <w:top w:val="single" w:color="auto" w:sz="12" w:space="0"/>
            </w:tcBorders>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模拟弹</w:t>
            </w:r>
          </w:p>
        </w:tc>
        <w:tc>
          <w:tcPr>
            <w:tcW w:w="834" w:type="dxa"/>
            <w:tcBorders>
              <w:top w:val="single" w:color="auto" w:sz="12" w:space="0"/>
            </w:tcBorders>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auto"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auto"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诸元显控设备</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电池型号14500，含1组备用电池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spacing w:line="310" w:lineRule="exact"/>
              <w:ind w:right="-105" w:firstLine="0" w:firstLineChars="0"/>
              <w:rPr>
                <w:rFonts w:ascii="Calibri" w:hAnsi="Calibri" w:cs="Calibri"/>
                <w:sz w:val="18"/>
                <w:szCs w:val="18"/>
              </w:rPr>
            </w:pPr>
            <w:r>
              <w:rPr>
                <w:rFonts w:hint="eastAsia" w:hAnsi="宋体" w:cs="宋体"/>
                <w:sz w:val="18"/>
                <w:szCs w:val="18"/>
              </w:rPr>
              <w:t>Ⅰ</w:t>
            </w:r>
            <w:r>
              <w:rPr>
                <w:rFonts w:ascii="Calibri" w:hAnsi="Calibri" w:cs="Calibri"/>
                <w:sz w:val="18"/>
                <w:szCs w:val="18"/>
              </w:rPr>
              <w:t>型声光弹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用于模拟弹电池充电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03"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140006B0"/>
    <w:multiLevelType w:val="singleLevel"/>
    <w:tmpl w:val="140006B0"/>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1DBD0AF8"/>
    <w:multiLevelType w:val="singleLevel"/>
    <w:tmpl w:val="1DBD0AF8"/>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5A67A57"/>
    <w:multiLevelType w:val="singleLevel"/>
    <w:tmpl w:val="25A67A57"/>
    <w:lvl w:ilvl="0" w:tentative="0">
      <w:start w:val="1"/>
      <w:numFmt w:val="lowerLetter"/>
      <w:lvlText w:val="%1)"/>
      <w:lvlJc w:val="left"/>
      <w:pPr>
        <w:tabs>
          <w:tab w:val="left" w:pos="800"/>
        </w:tabs>
        <w:ind w:left="800" w:hanging="400"/>
      </w:p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0">
    <w:nsid w:val="3001648E"/>
    <w:multiLevelType w:val="singleLevel"/>
    <w:tmpl w:val="3001648E"/>
    <w:lvl w:ilvl="0" w:tentative="0">
      <w:start w:val="1"/>
      <w:numFmt w:val="lowerLetter"/>
      <w:lvlText w:val="%1)"/>
      <w:lvlJc w:val="left"/>
      <w:pPr>
        <w:tabs>
          <w:tab w:val="left" w:pos="800"/>
        </w:tabs>
        <w:ind w:left="800" w:hanging="400"/>
      </w:p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4544DA90"/>
    <w:multiLevelType w:val="singleLevel"/>
    <w:tmpl w:val="4544DA90"/>
    <w:lvl w:ilvl="0" w:tentative="0">
      <w:start w:val="1"/>
      <w:numFmt w:val="lowerLetter"/>
      <w:lvlText w:val="%1)"/>
      <w:lvlJc w:val="left"/>
      <w:pPr>
        <w:tabs>
          <w:tab w:val="left" w:pos="800"/>
        </w:tabs>
        <w:ind w:left="800" w:hanging="400"/>
      </w:pPr>
    </w:lvl>
  </w:abstractNum>
  <w:abstractNum w:abstractNumId="13">
    <w:nsid w:val="4D6D17FE"/>
    <w:multiLevelType w:val="singleLevel"/>
    <w:tmpl w:val="4D6D17FE"/>
    <w:lvl w:ilvl="0" w:tentative="0">
      <w:start w:val="1"/>
      <w:numFmt w:val="lowerLetter"/>
      <w:lvlText w:val="%1)"/>
      <w:lvlJc w:val="left"/>
      <w:pPr>
        <w:tabs>
          <w:tab w:val="left" w:pos="800"/>
        </w:tabs>
        <w:ind w:left="800" w:hanging="400"/>
      </w:pPr>
    </w:lvl>
  </w:abstractNum>
  <w:abstractNum w:abstractNumId="14">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8252847"/>
    <w:multiLevelType w:val="singleLevel"/>
    <w:tmpl w:val="68252847"/>
    <w:lvl w:ilvl="0" w:tentative="0">
      <w:start w:val="1"/>
      <w:numFmt w:val="lowerLetter"/>
      <w:lvlText w:val="%1)"/>
      <w:lvlJc w:val="left"/>
      <w:pPr>
        <w:tabs>
          <w:tab w:val="left" w:pos="800"/>
        </w:tabs>
        <w:ind w:left="800" w:hanging="400"/>
      </w:pPr>
    </w:lvl>
  </w:abstractNum>
  <w:abstractNum w:abstractNumId="16">
    <w:nsid w:val="6F5309C0"/>
    <w:multiLevelType w:val="singleLevel"/>
    <w:tmpl w:val="6F5309C0"/>
    <w:lvl w:ilvl="0" w:tentative="0">
      <w:start w:val="1"/>
      <w:numFmt w:val="lowerLetter"/>
      <w:lvlText w:val="%1)"/>
      <w:lvlJc w:val="left"/>
      <w:pPr>
        <w:tabs>
          <w:tab w:val="left" w:pos="800"/>
        </w:tabs>
        <w:ind w:left="800" w:hanging="400"/>
      </w:pPr>
    </w:lvl>
  </w:abstractNum>
  <w:abstractNum w:abstractNumId="17">
    <w:nsid w:val="6FC120F2"/>
    <w:multiLevelType w:val="singleLevel"/>
    <w:tmpl w:val="6FC120F2"/>
    <w:lvl w:ilvl="0" w:tentative="0">
      <w:start w:val="1"/>
      <w:numFmt w:val="lowerLetter"/>
      <w:lvlText w:val="%1)"/>
      <w:lvlJc w:val="left"/>
      <w:pPr>
        <w:tabs>
          <w:tab w:val="left" w:pos="800"/>
        </w:tabs>
        <w:ind w:left="800" w:hanging="400"/>
      </w:pPr>
    </w:lvl>
  </w:abstractNum>
  <w:abstractNum w:abstractNumId="18">
    <w:nsid w:val="77CF1FE5"/>
    <w:multiLevelType w:val="singleLevel"/>
    <w:tmpl w:val="77CF1FE5"/>
    <w:lvl w:ilvl="0" w:tentative="0">
      <w:start w:val="1"/>
      <w:numFmt w:val="lowerLetter"/>
      <w:lvlText w:val="%1)"/>
      <w:lvlJc w:val="left"/>
      <w:pPr>
        <w:tabs>
          <w:tab w:val="left" w:pos="800"/>
        </w:tabs>
        <w:ind w:left="800" w:hanging="400"/>
      </w:pPr>
    </w:lvl>
  </w:abstractNum>
  <w:num w:numId="1">
    <w:abstractNumId w:val="9"/>
  </w:num>
  <w:num w:numId="2">
    <w:abstractNumId w:val="1"/>
  </w:num>
  <w:num w:numId="3">
    <w:abstractNumId w:val="0"/>
  </w:num>
  <w:num w:numId="4">
    <w:abstractNumId w:val="8"/>
  </w:num>
  <w:num w:numId="5">
    <w:abstractNumId w:val="6"/>
  </w:num>
  <w:num w:numId="6">
    <w:abstractNumId w:val="11"/>
  </w:num>
  <w:num w:numId="7">
    <w:abstractNumId w:val="14"/>
  </w:num>
  <w:num w:numId="8">
    <w:abstractNumId w:val="2"/>
  </w:num>
  <w:num w:numId="9">
    <w:abstractNumId w:val="3"/>
  </w:num>
  <w:num w:numId="10">
    <w:abstractNumId w:val="7"/>
  </w:num>
  <w:num w:numId="11">
    <w:abstractNumId w:val="16"/>
  </w:num>
  <w:num w:numId="12">
    <w:abstractNumId w:val="10"/>
  </w:num>
  <w:num w:numId="13">
    <w:abstractNumId w:val="5"/>
  </w:num>
  <w:num w:numId="14">
    <w:abstractNumId w:val="12"/>
  </w:num>
  <w:num w:numId="15">
    <w:abstractNumId w:val="18"/>
  </w:num>
  <w:num w:numId="16">
    <w:abstractNumId w:val="4"/>
  </w:num>
  <w:num w:numId="17">
    <w:abstractNumId w:val="13"/>
    <w:lvlOverride w:ilvl="0">
      <w:startOverride w:val="1"/>
    </w:lvlOverride>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8A76BCA"/>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3F437FB1"/>
    <w:rsid w:val="405A5CC5"/>
    <w:rsid w:val="40D90483"/>
    <w:rsid w:val="413D0443"/>
    <w:rsid w:val="418052FE"/>
    <w:rsid w:val="43894962"/>
    <w:rsid w:val="446E1E96"/>
    <w:rsid w:val="44907454"/>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265CF"/>
    <w:rsid w:val="50A67B5E"/>
    <w:rsid w:val="51087BA5"/>
    <w:rsid w:val="51160E05"/>
    <w:rsid w:val="51F83C04"/>
    <w:rsid w:val="55763CAB"/>
    <w:rsid w:val="570B23E3"/>
    <w:rsid w:val="578935BC"/>
    <w:rsid w:val="57C51296"/>
    <w:rsid w:val="59895A2F"/>
    <w:rsid w:val="59EE322D"/>
    <w:rsid w:val="5AA26459"/>
    <w:rsid w:val="5BAB7B4F"/>
    <w:rsid w:val="5C4A524E"/>
    <w:rsid w:val="5D926DC3"/>
    <w:rsid w:val="5E5623E4"/>
    <w:rsid w:val="5EB46C78"/>
    <w:rsid w:val="6083723A"/>
    <w:rsid w:val="62033EB7"/>
    <w:rsid w:val="637449DE"/>
    <w:rsid w:val="6501186F"/>
    <w:rsid w:val="65221113"/>
    <w:rsid w:val="66DB718F"/>
    <w:rsid w:val="679A2E87"/>
    <w:rsid w:val="67AB6895"/>
    <w:rsid w:val="68D921A8"/>
    <w:rsid w:val="6A7841D9"/>
    <w:rsid w:val="6A8054B1"/>
    <w:rsid w:val="6B6D0362"/>
    <w:rsid w:val="6B993D4E"/>
    <w:rsid w:val="6CD602B7"/>
    <w:rsid w:val="6EE900C5"/>
    <w:rsid w:val="6F5A1A33"/>
    <w:rsid w:val="6F625D9B"/>
    <w:rsid w:val="6FAF562B"/>
    <w:rsid w:val="71516D7F"/>
    <w:rsid w:val="722534BC"/>
    <w:rsid w:val="72911FF8"/>
    <w:rsid w:val="73385A74"/>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2020-07-31T07:29:27Z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