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装甲输送车模拟终端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1929130" cy="2099945"/>
                  <wp:effectExtent l="0" t="0" r="13970" b="14605"/>
                  <wp:docPr id="181" name="图片 181"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5930" cy="1659255"/>
                  <wp:effectExtent l="0" t="0" r="7620" b="17145"/>
                  <wp:docPr id="182" name="图片 182" descr="车载发射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车载发射机"/>
                          <pic:cNvPicPr>
                            <a:picLocks noChangeAspect="1"/>
                          </pic:cNvPicPr>
                        </pic:nvPicPr>
                        <pic:blipFill>
                          <a:blip r:embed="rId7"/>
                          <a:srcRect l="21642" t="9174" r="19525" b="5999"/>
                          <a:stretch>
                            <a:fillRect/>
                          </a:stretch>
                        </pic:blipFill>
                        <pic:spPr>
                          <a:xfrm>
                            <a:off x="0" y="0"/>
                            <a:ext cx="1725930" cy="1659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主机总成</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311400" cy="1852930"/>
                  <wp:effectExtent l="0" t="0" r="12700" b="13970"/>
                  <wp:docPr id="183" name="图片 183"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78f75e96fe4a7c839c951ebe07e7571"/>
                          <pic:cNvPicPr>
                            <a:picLocks noChangeAspect="1"/>
                          </pic:cNvPicPr>
                        </pic:nvPicPr>
                        <pic:blipFill>
                          <a:blip r:embed="rId8"/>
                          <a:srcRect l="29797" t="37517" r="33787" b="18741"/>
                          <a:stretch>
                            <a:fillRect/>
                          </a:stretch>
                        </pic:blipFill>
                        <pic:spPr>
                          <a:xfrm>
                            <a:off x="0" y="0"/>
                            <a:ext cx="2311400" cy="185293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185" name="图片 185"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发烟座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187" name="图片 187"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77c27746a91168c0d66e29f872e9160"/>
                          <pic:cNvPicPr>
                            <a:picLocks noChangeAspect="1"/>
                          </pic:cNvPicPr>
                        </pic:nvPicPr>
                        <pic:blipFill>
                          <a:blip r:embed="rId10"/>
                          <a:stretch>
                            <a:fillRect/>
                          </a:stretch>
                        </pic:blipFill>
                        <pic:spPr>
                          <a:xfrm>
                            <a:off x="0" y="0"/>
                            <a:ext cx="2476500" cy="179959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279015" cy="1776730"/>
                  <wp:effectExtent l="0" t="0" r="6985" b="13970"/>
                  <wp:docPr id="188" name="图片 188" descr="edc5c23adfee683474c97de48b10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edc5c23adfee683474c97de48b100ea"/>
                          <pic:cNvPicPr>
                            <a:picLocks noChangeAspect="1"/>
                          </pic:cNvPicPr>
                        </pic:nvPicPr>
                        <pic:blipFill>
                          <a:blip r:embed="rId11"/>
                          <a:srcRect l="10881" t="19583" b="9615"/>
                          <a:stretch>
                            <a:fillRect/>
                          </a:stretch>
                        </pic:blipFill>
                        <pic:spPr>
                          <a:xfrm>
                            <a:off x="0" y="0"/>
                            <a:ext cx="2279015" cy="17767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探头带组件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回型固定件</w:t>
            </w:r>
          </w:p>
        </w:tc>
      </w:tr>
    </w:tbl>
    <w:p>
      <w:pPr>
        <w:pStyle w:val="35"/>
        <w:bidi w:val="0"/>
      </w:pPr>
      <w:r>
        <w:rPr>
          <w:rFonts w:hint="eastAsia"/>
          <w:lang w:val="en-US" w:eastAsia="zh-CN"/>
        </w:rPr>
        <w:t>装甲输送车模拟终端</w:t>
      </w:r>
      <w:r>
        <w:t>用途</w:t>
      </w:r>
    </w:p>
    <w:p>
      <w:pPr>
        <w:pStyle w:val="46"/>
        <w:bidi w:val="0"/>
      </w:pPr>
      <w:r>
        <w:t>组织开展实兵训练演习时，产品外挂实装使用，用于模拟装甲输送车的火力打击、防御效能及被打击后的现地显示效果。</w:t>
      </w:r>
    </w:p>
    <w:p>
      <w:pPr>
        <w:pStyle w:val="35"/>
        <w:bidi w:val="0"/>
      </w:pPr>
      <w:r>
        <w:rPr>
          <w:rFonts w:hint="eastAsia"/>
          <w:lang w:val="en-US" w:eastAsia="zh-CN"/>
        </w:rPr>
        <w:t>装甲输送车模拟终端</w:t>
      </w:r>
      <w:r>
        <w:t>组成</w:t>
      </w:r>
    </w:p>
    <w:p>
      <w:pPr>
        <w:pStyle w:val="46"/>
        <w:bidi w:val="0"/>
      </w:pPr>
      <w:bookmarkStart w:id="0" w:name="_Toc22379507"/>
      <w:bookmarkStart w:id="1" w:name="_Toc19102411"/>
      <w:r>
        <w:t>产品主要由控制主机、舱内显控设备、高射机枪发射机、命中烟雾发射装置、命中灯光显示装置、接收探头组和火工品等组成。</w:t>
      </w:r>
    </w:p>
    <w:p>
      <w:pPr>
        <w:pStyle w:val="46"/>
        <w:bidi w:val="0"/>
        <w:jc w:val="center"/>
      </w:pPr>
      <w:r>
        <w:rPr>
          <w:rFonts w:ascii="Calibri" w:hAnsi="Calibri"/>
        </w:rPr>
        <w:object>
          <v:shape id="_x0000_i1025" o:spt="75" type="#_x0000_t75" style="height:179.6pt;width:179.1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pPr>
        <w:pStyle w:val="35"/>
        <w:bidi w:val="0"/>
      </w:pPr>
      <w:r>
        <w:rPr>
          <w:rFonts w:hint="eastAsia"/>
          <w:lang w:val="en-US" w:eastAsia="zh-CN"/>
        </w:rPr>
        <w:t>装甲输送车模拟终端功能</w:t>
      </w:r>
    </w:p>
    <w:p>
      <w:pPr>
        <w:pStyle w:val="37"/>
        <w:bidi w:val="0"/>
      </w:pPr>
      <w:bookmarkStart w:id="2" w:name="_Toc22381795"/>
      <w:bookmarkStart w:id="3" w:name="_Toc19103431"/>
      <w:r>
        <w:t>火力效能模拟</w:t>
      </w:r>
      <w:bookmarkEnd w:id="2"/>
      <w:bookmarkEnd w:id="3"/>
    </w:p>
    <w:p>
      <w:pPr>
        <w:pStyle w:val="40"/>
        <w:numPr>
          <w:ilvl w:val="0"/>
          <w:numId w:val="9"/>
        </w:numPr>
        <w:bidi w:val="0"/>
      </w:pPr>
      <w:r>
        <w:t>能模拟</w:t>
      </w:r>
      <w:r>
        <w:rPr>
          <w:rFonts w:hint="eastAsia"/>
        </w:rPr>
        <w:t>装甲输送车</w:t>
      </w:r>
      <w:r>
        <w:t>对战场目标的火力打击效能；</w:t>
      </w:r>
    </w:p>
    <w:p>
      <w:pPr>
        <w:pStyle w:val="40"/>
        <w:numPr>
          <w:ilvl w:val="0"/>
          <w:numId w:val="9"/>
        </w:numPr>
        <w:bidi w:val="0"/>
      </w:pPr>
      <w:r>
        <w:t>产品激光最大作用距离</w:t>
      </w:r>
      <w:r>
        <w:rPr>
          <w:rFonts w:hint="eastAsia"/>
          <w:lang w:eastAsia="zh-CN"/>
        </w:rPr>
        <w:t>：</w:t>
      </w:r>
      <w:r>
        <w:rPr>
          <w:rFonts w:hint="eastAsia"/>
          <w:lang w:val="en-US" w:eastAsia="zh-CN"/>
        </w:rPr>
        <w:t>1500m</w:t>
      </w:r>
      <w:r>
        <w:t>；</w:t>
      </w:r>
    </w:p>
    <w:p>
      <w:pPr>
        <w:pStyle w:val="40"/>
        <w:numPr>
          <w:ilvl w:val="0"/>
          <w:numId w:val="9"/>
        </w:numPr>
        <w:bidi w:val="0"/>
      </w:pPr>
      <w:r>
        <w:rPr>
          <w:rFonts w:hint="eastAsia"/>
        </w:rPr>
        <w:t>采用激光模拟产品激光光斑命中目标有效部位均能有效识别，在有效射程处，配置有主炮和机枪的装备主炮光斑尺寸150cm，高射机枪光斑尺寸40cm；</w:t>
      </w:r>
    </w:p>
    <w:p>
      <w:pPr>
        <w:pStyle w:val="40"/>
        <w:numPr>
          <w:ilvl w:val="0"/>
          <w:numId w:val="9"/>
        </w:numPr>
        <w:bidi w:val="0"/>
      </w:pPr>
      <w:r>
        <w:rPr>
          <w:rFonts w:hint="eastAsia"/>
        </w:rPr>
        <w:t>产品能将武器弹药类型和发射位置等参数发送至目标，以辅助目标解算弹丸飞行时间；</w:t>
      </w:r>
    </w:p>
    <w:p>
      <w:pPr>
        <w:pStyle w:val="37"/>
        <w:bidi w:val="0"/>
        <w:rPr>
          <w:szCs w:val="22"/>
        </w:rPr>
      </w:pPr>
      <w:bookmarkStart w:id="4" w:name="_Toc19103432"/>
      <w:bookmarkStart w:id="5" w:name="_Toc22381796"/>
      <w:r>
        <w:rPr>
          <w:szCs w:val="22"/>
        </w:rPr>
        <w:t>发射控制</w:t>
      </w:r>
      <w:bookmarkEnd w:id="4"/>
      <w:bookmarkEnd w:id="5"/>
    </w:p>
    <w:p>
      <w:pPr>
        <w:pStyle w:val="40"/>
        <w:numPr>
          <w:ilvl w:val="0"/>
          <w:numId w:val="10"/>
        </w:numPr>
        <w:bidi w:val="0"/>
      </w:pPr>
      <w:r>
        <w:t>能根据当前弹量自动锁定或解锁发射机发射功能：当弹量为0时锁定发射机发射功能，当弹量大于0时解锁发射机发射功能；</w:t>
      </w:r>
    </w:p>
    <w:p>
      <w:pPr>
        <w:pStyle w:val="40"/>
        <w:numPr>
          <w:ilvl w:val="0"/>
          <w:numId w:val="10"/>
        </w:numPr>
        <w:bidi w:val="0"/>
      </w:pPr>
      <w:r>
        <w:t>产品被损毁（F类毁伤和K类毁伤）后，能自动锁定发射机发射功能。</w:t>
      </w:r>
    </w:p>
    <w:p>
      <w:pPr>
        <w:pStyle w:val="37"/>
        <w:bidi w:val="0"/>
        <w:rPr>
          <w:szCs w:val="22"/>
        </w:rPr>
      </w:pPr>
      <w:bookmarkStart w:id="6" w:name="_Toc22381797"/>
      <w:bookmarkStart w:id="7" w:name="_Toc19103433"/>
      <w:r>
        <w:rPr>
          <w:szCs w:val="22"/>
        </w:rPr>
        <w:t>发射指示</w:t>
      </w:r>
      <w:bookmarkEnd w:id="6"/>
      <w:bookmarkEnd w:id="7"/>
    </w:p>
    <w:p>
      <w:pPr>
        <w:pStyle w:val="46"/>
        <w:bidi w:val="0"/>
      </w:pPr>
      <w:r>
        <w:t>能通过舱内设备显示有效发射状态。</w:t>
      </w:r>
    </w:p>
    <w:p>
      <w:pPr>
        <w:pStyle w:val="37"/>
        <w:bidi w:val="0"/>
        <w:rPr>
          <w:szCs w:val="22"/>
        </w:rPr>
      </w:pPr>
      <w:bookmarkStart w:id="8" w:name="_Toc22381798"/>
      <w:bookmarkStart w:id="9" w:name="_Toc19103434"/>
      <w:r>
        <w:rPr>
          <w:szCs w:val="22"/>
        </w:rPr>
        <w:t>毁伤模拟</w:t>
      </w:r>
      <w:bookmarkEnd w:id="8"/>
      <w:bookmarkEnd w:id="9"/>
    </w:p>
    <w:p>
      <w:pPr>
        <w:pStyle w:val="40"/>
        <w:numPr>
          <w:ilvl w:val="0"/>
          <w:numId w:val="11"/>
        </w:numPr>
        <w:bidi w:val="0"/>
      </w:pPr>
      <w:r>
        <w:t>能模拟武器被各类直瞄、间瞄和地爆等有效武器打击后的杀伤效果，模拟毁伤输出包括伤类和伤部信息，伤类包括M类毁伤、F类毁伤和K类毁伤；</w:t>
      </w:r>
    </w:p>
    <w:p>
      <w:pPr>
        <w:pStyle w:val="40"/>
        <w:numPr>
          <w:ilvl w:val="0"/>
          <w:numId w:val="11"/>
        </w:numPr>
        <w:bidi w:val="0"/>
      </w:pPr>
      <w:r>
        <w:rPr>
          <w:rFonts w:hint="eastAsia"/>
        </w:rPr>
        <w:t>产品的多个激光接收器同时接收到同一激光束时，以激光接收器的中心位置为实际命中位置；</w:t>
      </w:r>
    </w:p>
    <w:p>
      <w:pPr>
        <w:pStyle w:val="40"/>
        <w:numPr>
          <w:ilvl w:val="0"/>
          <w:numId w:val="11"/>
        </w:numPr>
        <w:bidi w:val="0"/>
      </w:pPr>
      <w:r>
        <w:t>具备水平360°，垂直±45°的激光接收能力；</w:t>
      </w:r>
    </w:p>
    <w:p>
      <w:pPr>
        <w:pStyle w:val="40"/>
        <w:numPr>
          <w:ilvl w:val="0"/>
          <w:numId w:val="11"/>
        </w:numPr>
        <w:bidi w:val="0"/>
      </w:pPr>
      <w:r>
        <w:rPr>
          <w:rFonts w:hint="eastAsia"/>
        </w:rPr>
        <w:t>产品在主炮/并列机枪发射机前端配置专用激光接收探头，用于接收打击激光，模拟掩体内坦克炮管暴露后被打击效果，具备水平360°，垂直±45°的激光接收能力；</w:t>
      </w:r>
    </w:p>
    <w:p>
      <w:pPr>
        <w:pStyle w:val="40"/>
        <w:numPr>
          <w:ilvl w:val="0"/>
          <w:numId w:val="11"/>
        </w:numPr>
        <w:bidi w:val="0"/>
      </w:pPr>
      <w:r>
        <w:t>产品激光接收器在接收到有效数据4字节的数据帧时，解码时间</w:t>
      </w:r>
      <w:r>
        <w:rPr>
          <w:rFonts w:hint="eastAsia"/>
          <w:lang w:eastAsia="zh-CN"/>
        </w:rPr>
        <w:t>：</w:t>
      </w:r>
      <w:r>
        <w:t>10ms；</w:t>
      </w:r>
    </w:p>
    <w:p>
      <w:pPr>
        <w:pStyle w:val="40"/>
        <w:numPr>
          <w:ilvl w:val="0"/>
          <w:numId w:val="11"/>
        </w:numPr>
        <w:bidi w:val="0"/>
      </w:pPr>
      <w:r>
        <w:t>在频率1KHz，脉宽2us的噪声干扰背景下，产品激光接收解码成功率</w:t>
      </w:r>
      <w:r>
        <w:rPr>
          <w:rFonts w:hint="eastAsia"/>
          <w:lang w:eastAsia="zh-CN"/>
        </w:rPr>
        <w:t>：</w:t>
      </w:r>
      <w:r>
        <w:t>99%；</w:t>
      </w:r>
    </w:p>
    <w:p>
      <w:pPr>
        <w:pStyle w:val="40"/>
        <w:numPr>
          <w:ilvl w:val="0"/>
          <w:numId w:val="11"/>
        </w:numPr>
        <w:bidi w:val="0"/>
      </w:pPr>
      <w:r>
        <w:t>能自动关联进入装甲输送车的人员，并在装甲输送车被打击后模拟对内部人员的连带杀伤效果；</w:t>
      </w:r>
    </w:p>
    <w:p>
      <w:pPr>
        <w:pStyle w:val="40"/>
        <w:numPr>
          <w:ilvl w:val="0"/>
          <w:numId w:val="11"/>
        </w:numPr>
        <w:bidi w:val="0"/>
      </w:pPr>
      <w:r>
        <w:t>能模拟在受到核生化威胁后，核生化三防装置的防护效果；</w:t>
      </w:r>
    </w:p>
    <w:p>
      <w:pPr>
        <w:pStyle w:val="40"/>
        <w:numPr>
          <w:ilvl w:val="0"/>
          <w:numId w:val="11"/>
        </w:numPr>
        <w:bidi w:val="0"/>
      </w:pPr>
      <w:r>
        <w:t>当出现F类毁伤或K类毁伤时，产品能自动锁定激光发射功能；</w:t>
      </w:r>
    </w:p>
    <w:p>
      <w:pPr>
        <w:pStyle w:val="40"/>
        <w:numPr>
          <w:ilvl w:val="0"/>
          <w:numId w:val="11"/>
        </w:numPr>
        <w:bidi w:val="0"/>
      </w:pPr>
      <w:r>
        <w:t>提供与模拟装甲抢修设备的交互接口并内置抢修模型，逼真模拟抢修行动对装备作战效能的影响；</w:t>
      </w:r>
    </w:p>
    <w:p>
      <w:pPr>
        <w:pStyle w:val="40"/>
        <w:numPr>
          <w:ilvl w:val="0"/>
          <w:numId w:val="11"/>
        </w:numPr>
        <w:bidi w:val="0"/>
      </w:pPr>
      <w:r>
        <w:t>提供软件升级外部接口，满足毁伤模型快速更新要求。</w:t>
      </w:r>
    </w:p>
    <w:p>
      <w:pPr>
        <w:pStyle w:val="37"/>
        <w:bidi w:val="0"/>
        <w:rPr>
          <w:szCs w:val="22"/>
        </w:rPr>
      </w:pPr>
      <w:bookmarkStart w:id="10" w:name="_Toc19103435"/>
      <w:bookmarkStart w:id="11" w:name="_Toc22381799"/>
      <w:r>
        <w:rPr>
          <w:szCs w:val="22"/>
        </w:rPr>
        <w:t>命中提示</w:t>
      </w:r>
      <w:bookmarkEnd w:id="10"/>
      <w:bookmarkEnd w:id="11"/>
    </w:p>
    <w:p>
      <w:pPr>
        <w:pStyle w:val="40"/>
        <w:numPr>
          <w:ilvl w:val="0"/>
          <w:numId w:val="12"/>
        </w:numPr>
        <w:bidi w:val="0"/>
      </w:pPr>
      <w:r>
        <w:t>能够通过灯光（红色）和烟雾等方式显示</w:t>
      </w:r>
      <w:r>
        <w:rPr>
          <w:rFonts w:hint="eastAsia"/>
        </w:rPr>
        <w:t>装备</w:t>
      </w:r>
      <w:r>
        <w:t>被命中后的战场效果；</w:t>
      </w:r>
    </w:p>
    <w:p>
      <w:pPr>
        <w:pStyle w:val="40"/>
        <w:numPr>
          <w:ilvl w:val="0"/>
          <w:numId w:val="12"/>
        </w:numPr>
        <w:bidi w:val="0"/>
      </w:pPr>
      <w:r>
        <w:t>产品烟雾罐单次装弹量2枚，可通过颜色区分击伤（白色）和击毁（黑色）；</w:t>
      </w:r>
    </w:p>
    <w:p>
      <w:pPr>
        <w:pStyle w:val="40"/>
        <w:numPr>
          <w:ilvl w:val="0"/>
          <w:numId w:val="12"/>
        </w:numPr>
        <w:bidi w:val="0"/>
      </w:pPr>
      <w:r>
        <w:t>能通过声音和灯光（红色）等方式提示舱内人员装甲输送车被命中。</w:t>
      </w:r>
    </w:p>
    <w:p>
      <w:pPr>
        <w:pStyle w:val="37"/>
        <w:bidi w:val="0"/>
        <w:rPr>
          <w:szCs w:val="22"/>
        </w:rPr>
      </w:pPr>
      <w:bookmarkStart w:id="12" w:name="_Toc22381800"/>
      <w:bookmarkStart w:id="13" w:name="_Toc19103436"/>
      <w:r>
        <w:rPr>
          <w:szCs w:val="22"/>
        </w:rPr>
        <w:t>告警提示</w:t>
      </w:r>
      <w:bookmarkEnd w:id="12"/>
      <w:bookmarkEnd w:id="13"/>
    </w:p>
    <w:p>
      <w:pPr>
        <w:pStyle w:val="40"/>
        <w:numPr>
          <w:ilvl w:val="0"/>
          <w:numId w:val="13"/>
        </w:numPr>
        <w:bidi w:val="0"/>
      </w:pPr>
      <w:r>
        <w:t>能通过舱内设备对光电威胁、核生化威胁、供电状态、设备故障、弹药消耗完毕等情况进行告警提示；</w:t>
      </w:r>
    </w:p>
    <w:p>
      <w:pPr>
        <w:pStyle w:val="40"/>
        <w:numPr>
          <w:ilvl w:val="0"/>
          <w:numId w:val="13"/>
        </w:numPr>
        <w:bidi w:val="0"/>
      </w:pPr>
      <w:r>
        <w:t>产品收到光电威胁、核生化威胁警告后，能通过舱内设备进行防护操作，显示防护效果；</w:t>
      </w:r>
    </w:p>
    <w:p>
      <w:pPr>
        <w:pStyle w:val="40"/>
        <w:numPr>
          <w:ilvl w:val="0"/>
          <w:numId w:val="13"/>
        </w:numPr>
        <w:bidi w:val="0"/>
      </w:pPr>
      <w:r>
        <w:t>能通过灯光（蓝色）对启动光电防护、核生化防护等情况进行舱外告警提示。</w:t>
      </w:r>
    </w:p>
    <w:p>
      <w:pPr>
        <w:pStyle w:val="37"/>
        <w:bidi w:val="0"/>
        <w:rPr>
          <w:szCs w:val="22"/>
        </w:rPr>
      </w:pPr>
      <w:bookmarkStart w:id="14" w:name="_Toc22381801"/>
      <w:bookmarkStart w:id="15" w:name="_Toc19103437"/>
      <w:r>
        <w:rPr>
          <w:szCs w:val="22"/>
        </w:rPr>
        <w:t>状态显示</w:t>
      </w:r>
      <w:bookmarkEnd w:id="14"/>
      <w:bookmarkEnd w:id="15"/>
    </w:p>
    <w:p>
      <w:pPr>
        <w:pStyle w:val="46"/>
        <w:bidi w:val="0"/>
      </w:pPr>
      <w:r>
        <w:t>能对自身状态信息和实装火控信息进行实时查询和显示，查询显示内容包括以下信息：</w:t>
      </w:r>
    </w:p>
    <w:p>
      <w:pPr>
        <w:pStyle w:val="40"/>
        <w:numPr>
          <w:ilvl w:val="0"/>
          <w:numId w:val="14"/>
        </w:numPr>
        <w:bidi w:val="0"/>
      </w:pPr>
      <w:r>
        <w:t>装甲输送车身份信息；</w:t>
      </w:r>
    </w:p>
    <w:p>
      <w:pPr>
        <w:pStyle w:val="40"/>
        <w:numPr>
          <w:ilvl w:val="0"/>
          <w:numId w:val="14"/>
        </w:numPr>
        <w:bidi w:val="0"/>
      </w:pPr>
      <w:r>
        <w:t>当前武器类型；</w:t>
      </w:r>
    </w:p>
    <w:p>
      <w:pPr>
        <w:pStyle w:val="40"/>
        <w:numPr>
          <w:ilvl w:val="0"/>
          <w:numId w:val="14"/>
        </w:numPr>
        <w:bidi w:val="0"/>
      </w:pPr>
      <w:r>
        <w:t>当前弹药类型及剩余弹量；</w:t>
      </w:r>
    </w:p>
    <w:p>
      <w:pPr>
        <w:pStyle w:val="40"/>
        <w:numPr>
          <w:ilvl w:val="0"/>
          <w:numId w:val="14"/>
        </w:numPr>
        <w:bidi w:val="0"/>
      </w:pPr>
      <w:r>
        <w:t>毁伤信息（含伤类和伤部等）；</w:t>
      </w:r>
    </w:p>
    <w:p>
      <w:pPr>
        <w:pStyle w:val="40"/>
        <w:numPr>
          <w:ilvl w:val="0"/>
          <w:numId w:val="14"/>
        </w:numPr>
        <w:bidi w:val="0"/>
      </w:pPr>
      <w:r>
        <w:t>核生化威胁/防护状态；</w:t>
      </w:r>
    </w:p>
    <w:p>
      <w:pPr>
        <w:pStyle w:val="40"/>
        <w:numPr>
          <w:ilvl w:val="0"/>
          <w:numId w:val="14"/>
        </w:numPr>
        <w:bidi w:val="0"/>
      </w:pPr>
      <w:r>
        <w:t>光电威胁/防护状态；</w:t>
      </w:r>
    </w:p>
    <w:p>
      <w:pPr>
        <w:pStyle w:val="40"/>
        <w:numPr>
          <w:ilvl w:val="0"/>
          <w:numId w:val="14"/>
        </w:numPr>
        <w:bidi w:val="0"/>
      </w:pPr>
      <w:r>
        <w:t>车内人员信息；</w:t>
      </w:r>
    </w:p>
    <w:p>
      <w:pPr>
        <w:pStyle w:val="40"/>
        <w:numPr>
          <w:ilvl w:val="0"/>
          <w:numId w:val="14"/>
        </w:numPr>
        <w:bidi w:val="0"/>
      </w:pPr>
      <w:r>
        <w:t>通信状态（包括当前与主台间的通信信号强度以及组件间连接状态等）；</w:t>
      </w:r>
    </w:p>
    <w:p>
      <w:pPr>
        <w:pStyle w:val="40"/>
        <w:numPr>
          <w:ilvl w:val="0"/>
          <w:numId w:val="14"/>
        </w:numPr>
        <w:bidi w:val="0"/>
      </w:pPr>
      <w:r>
        <w:t>当前定位状态；</w:t>
      </w:r>
    </w:p>
    <w:p>
      <w:pPr>
        <w:pStyle w:val="40"/>
        <w:numPr>
          <w:ilvl w:val="0"/>
          <w:numId w:val="14"/>
        </w:numPr>
        <w:bidi w:val="0"/>
      </w:pPr>
      <w:r>
        <w:t>剩余电量（高射机枪发射机）。</w:t>
      </w:r>
    </w:p>
    <w:p>
      <w:pPr>
        <w:pStyle w:val="37"/>
        <w:bidi w:val="0"/>
        <w:rPr>
          <w:szCs w:val="22"/>
        </w:rPr>
      </w:pPr>
      <w:bookmarkStart w:id="16" w:name="_Toc22381802"/>
      <w:bookmarkStart w:id="17" w:name="_Toc19103438"/>
      <w:r>
        <w:rPr>
          <w:szCs w:val="22"/>
        </w:rPr>
        <w:t>昼夜模式切换</w:t>
      </w:r>
      <w:bookmarkEnd w:id="16"/>
      <w:bookmarkEnd w:id="17"/>
    </w:p>
    <w:p>
      <w:pPr>
        <w:pStyle w:val="40"/>
        <w:numPr>
          <w:ilvl w:val="0"/>
          <w:numId w:val="15"/>
        </w:numPr>
        <w:bidi w:val="0"/>
      </w:pPr>
      <w:r>
        <w:t>能响应远程或现地模式切换指令，自动完成昼夜模式切换；</w:t>
      </w:r>
    </w:p>
    <w:p>
      <w:pPr>
        <w:pStyle w:val="40"/>
        <w:numPr>
          <w:ilvl w:val="0"/>
          <w:numId w:val="15"/>
        </w:numPr>
        <w:bidi w:val="0"/>
      </w:pPr>
      <w:r>
        <w:t>产品进入夜间模式时，能自动调低相关状态指示灯亮度。</w:t>
      </w:r>
    </w:p>
    <w:p>
      <w:pPr>
        <w:pStyle w:val="37"/>
        <w:bidi w:val="0"/>
        <w:rPr>
          <w:szCs w:val="22"/>
        </w:rPr>
      </w:pPr>
      <w:bookmarkStart w:id="18" w:name="_Toc22381803"/>
      <w:bookmarkStart w:id="19" w:name="_Toc19103439"/>
      <w:r>
        <w:rPr>
          <w:rFonts w:hint="eastAsia"/>
          <w:szCs w:val="22"/>
        </w:rPr>
        <w:t>工作状态类型</w:t>
      </w:r>
      <w:bookmarkEnd w:id="18"/>
    </w:p>
    <w:p>
      <w:pPr>
        <w:pStyle w:val="46"/>
        <w:bidi w:val="0"/>
      </w:pPr>
      <w:r>
        <w:rPr>
          <w:rFonts w:hint="eastAsia"/>
        </w:rPr>
        <w:t>包含训练状态与演习状态。</w:t>
      </w:r>
    </w:p>
    <w:p>
      <w:pPr>
        <w:pStyle w:val="37"/>
        <w:bidi w:val="0"/>
        <w:rPr>
          <w:szCs w:val="22"/>
        </w:rPr>
      </w:pPr>
      <w:bookmarkStart w:id="20" w:name="_Toc22381804"/>
      <w:r>
        <w:rPr>
          <w:szCs w:val="22"/>
        </w:rPr>
        <w:t>远程控制响应</w:t>
      </w:r>
      <w:bookmarkEnd w:id="19"/>
      <w:bookmarkEnd w:id="20"/>
    </w:p>
    <w:p>
      <w:pPr>
        <w:pStyle w:val="40"/>
        <w:numPr>
          <w:ilvl w:val="0"/>
          <w:numId w:val="16"/>
        </w:numPr>
        <w:bidi w:val="0"/>
      </w:pPr>
      <w:r>
        <w:t>能够接收导控系统在演习前下发的演习参数预置指令，完成密钥、弹药等参数预置和</w:t>
      </w:r>
      <w:r>
        <w:rPr>
          <w:rFonts w:hint="eastAsia"/>
        </w:rPr>
        <w:t>工作状态（训练状态与演习状态）</w:t>
      </w:r>
      <w:r>
        <w:t>自动切换；</w:t>
      </w:r>
    </w:p>
    <w:p>
      <w:pPr>
        <w:pStyle w:val="40"/>
        <w:numPr>
          <w:ilvl w:val="0"/>
          <w:numId w:val="16"/>
        </w:numPr>
        <w:bidi w:val="0"/>
      </w:pPr>
      <w:r>
        <w:t>能够接收导控系统下发的导控裁决无线指令，实现远程裁决操作；</w:t>
      </w:r>
    </w:p>
    <w:p>
      <w:pPr>
        <w:pStyle w:val="40"/>
        <w:numPr>
          <w:ilvl w:val="0"/>
          <w:numId w:val="16"/>
        </w:numPr>
        <w:bidi w:val="0"/>
      </w:pPr>
      <w:r>
        <w:t>能够接收导控系统下发的演习密钥设置无线指令，实现远程加载终端密钥；</w:t>
      </w:r>
    </w:p>
    <w:p>
      <w:pPr>
        <w:pStyle w:val="40"/>
        <w:numPr>
          <w:ilvl w:val="0"/>
          <w:numId w:val="16"/>
        </w:numPr>
        <w:bidi w:val="0"/>
      </w:pPr>
      <w:r>
        <w:t>能够接收导控系统下发的昼夜工作模式切换无线指令，实现昼夜模式自动切换。</w:t>
      </w:r>
    </w:p>
    <w:p>
      <w:pPr>
        <w:pStyle w:val="37"/>
        <w:bidi w:val="0"/>
        <w:rPr>
          <w:szCs w:val="22"/>
        </w:rPr>
      </w:pPr>
      <w:bookmarkStart w:id="21" w:name="_Toc22381805"/>
      <w:bookmarkStart w:id="22" w:name="_Toc19103440"/>
      <w:r>
        <w:rPr>
          <w:szCs w:val="22"/>
        </w:rPr>
        <w:t>现地调理响应</w:t>
      </w:r>
      <w:bookmarkEnd w:id="21"/>
      <w:bookmarkEnd w:id="22"/>
    </w:p>
    <w:p>
      <w:pPr>
        <w:pStyle w:val="40"/>
        <w:numPr>
          <w:ilvl w:val="0"/>
          <w:numId w:val="17"/>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7"/>
        </w:numPr>
        <w:bidi w:val="0"/>
      </w:pPr>
      <w:r>
        <w:t>能够在演习过程中实时接收模拟装弹器的弹药参数设置指令，实现弹药的补给；</w:t>
      </w:r>
    </w:p>
    <w:p>
      <w:pPr>
        <w:pStyle w:val="40"/>
        <w:numPr>
          <w:ilvl w:val="0"/>
          <w:numId w:val="17"/>
        </w:numPr>
        <w:bidi w:val="0"/>
      </w:pPr>
      <w:r>
        <w:t>能够接收调理枪的导控裁决指令，实现现地裁决等操作；</w:t>
      </w:r>
    </w:p>
    <w:p>
      <w:pPr>
        <w:pStyle w:val="40"/>
        <w:numPr>
          <w:ilvl w:val="0"/>
          <w:numId w:val="17"/>
        </w:numPr>
        <w:bidi w:val="0"/>
      </w:pPr>
      <w:r>
        <w:t>能够接收调理枪的模式切换指令，实现昼夜模式的现地切换。</w:t>
      </w:r>
    </w:p>
    <w:p>
      <w:pPr>
        <w:pStyle w:val="37"/>
        <w:bidi w:val="0"/>
        <w:rPr>
          <w:szCs w:val="22"/>
        </w:rPr>
      </w:pPr>
      <w:bookmarkStart w:id="23" w:name="_Toc22381806"/>
      <w:bookmarkStart w:id="24" w:name="_Toc19103441"/>
      <w:r>
        <w:rPr>
          <w:szCs w:val="22"/>
        </w:rPr>
        <w:t>演训信息采集上传</w:t>
      </w:r>
      <w:bookmarkEnd w:id="23"/>
      <w:bookmarkEnd w:id="24"/>
    </w:p>
    <w:p>
      <w:pPr>
        <w:pStyle w:val="40"/>
        <w:numPr>
          <w:ilvl w:val="0"/>
          <w:numId w:val="18"/>
        </w:numPr>
        <w:bidi w:val="0"/>
      </w:pPr>
      <w:r>
        <w:t>能自动检测并按照预设的时间间隔定时上传装甲输送车状态信息，包括身份信息、武器类型、弹药类型、弹药数量、位置信息、车内人员信息等，其中位置信息采用包含北斗的双模方式，定位精度</w:t>
      </w:r>
      <w:r>
        <w:rPr>
          <w:rFonts w:hint="eastAsia"/>
          <w:lang w:eastAsia="zh-CN"/>
        </w:rPr>
        <w:t>：</w:t>
      </w:r>
      <w:r>
        <w:t>5m（RMS）；</w:t>
      </w:r>
    </w:p>
    <w:p>
      <w:pPr>
        <w:pStyle w:val="40"/>
        <w:numPr>
          <w:ilvl w:val="0"/>
          <w:numId w:val="18"/>
        </w:numPr>
        <w:bidi w:val="0"/>
      </w:pPr>
      <w:r>
        <w:rPr>
          <w:rFonts w:hint="eastAsia"/>
        </w:rPr>
        <w:t>产品上传状态信息最长时间间隔为1s；</w:t>
      </w:r>
    </w:p>
    <w:p>
      <w:pPr>
        <w:pStyle w:val="40"/>
        <w:numPr>
          <w:ilvl w:val="0"/>
          <w:numId w:val="18"/>
        </w:numPr>
        <w:bidi w:val="0"/>
      </w:pPr>
      <w:r>
        <w:t>能自动检测并实时上传各类训练事件信息，事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5" w:name="_Toc19103442"/>
      <w:bookmarkStart w:id="26" w:name="_Toc22381807"/>
      <w:r>
        <w:rPr>
          <w:szCs w:val="22"/>
        </w:rPr>
        <w:t>产品工况信息采集上传</w:t>
      </w:r>
      <w:bookmarkEnd w:id="25"/>
      <w:bookmarkEnd w:id="26"/>
    </w:p>
    <w:p>
      <w:pPr>
        <w:pStyle w:val="46"/>
        <w:bidi w:val="0"/>
      </w:pPr>
      <w:r>
        <w:t>能自动检测故障状态(包括通信模块失效、定位模块失效、探头失效等)、欠电状态、部件连接状态等信息，并完成自动上传。</w:t>
      </w:r>
    </w:p>
    <w:p>
      <w:pPr>
        <w:pStyle w:val="37"/>
        <w:bidi w:val="0"/>
        <w:rPr>
          <w:szCs w:val="22"/>
        </w:rPr>
      </w:pPr>
      <w:bookmarkStart w:id="27" w:name="_Toc19103443"/>
      <w:bookmarkStart w:id="28" w:name="_Toc22381808"/>
      <w:r>
        <w:rPr>
          <w:szCs w:val="22"/>
        </w:rPr>
        <w:t>违规处置</w:t>
      </w:r>
      <w:bookmarkEnd w:id="27"/>
      <w:bookmarkEnd w:id="28"/>
    </w:p>
    <w:p>
      <w:pPr>
        <w:pStyle w:val="40"/>
        <w:numPr>
          <w:ilvl w:val="0"/>
          <w:numId w:val="19"/>
        </w:numPr>
        <w:bidi w:val="0"/>
      </w:pPr>
      <w:r>
        <w:t>能自动检测火工品安装情况，当未按要求安装火工品时，能自动锁定发射机发射功能；</w:t>
      </w:r>
    </w:p>
    <w:p>
      <w:pPr>
        <w:pStyle w:val="40"/>
        <w:numPr>
          <w:ilvl w:val="0"/>
          <w:numId w:val="19"/>
        </w:numPr>
        <w:bidi w:val="0"/>
      </w:pPr>
      <w:r>
        <w:t>能自动检测当前伤亡后移动情况，当出现丧失战斗能力（M类毁伤、K类毁伤）后的非法移动时，产品自动上报违规信息；</w:t>
      </w:r>
    </w:p>
    <w:p>
      <w:pPr>
        <w:pStyle w:val="40"/>
        <w:numPr>
          <w:ilvl w:val="0"/>
          <w:numId w:val="19"/>
        </w:numPr>
        <w:bidi w:val="0"/>
      </w:pPr>
      <w:r>
        <w:t>能自动检测开关机信号，当出现在演习模式且关机断电重启时，产品自动判定为K类毁伤；</w:t>
      </w:r>
    </w:p>
    <w:p>
      <w:pPr>
        <w:pStyle w:val="40"/>
        <w:numPr>
          <w:ilvl w:val="0"/>
          <w:numId w:val="19"/>
        </w:numPr>
        <w:bidi w:val="0"/>
      </w:pPr>
      <w:r>
        <w:t>能自动检测激光接收探头被遮挡情况，并自动上报违规信息；</w:t>
      </w:r>
    </w:p>
    <w:p>
      <w:pPr>
        <w:pStyle w:val="40"/>
        <w:numPr>
          <w:ilvl w:val="0"/>
          <w:numId w:val="19"/>
        </w:numPr>
        <w:bidi w:val="0"/>
      </w:pPr>
      <w:r>
        <w:t>产品激光编码包含密钥信息，防止非演习编成内器材的违规使用。</w:t>
      </w:r>
    </w:p>
    <w:p>
      <w:pPr>
        <w:pStyle w:val="37"/>
        <w:bidi w:val="0"/>
        <w:rPr>
          <w:szCs w:val="22"/>
        </w:rPr>
      </w:pPr>
      <w:bookmarkStart w:id="29" w:name="_Toc19103444"/>
      <w:bookmarkStart w:id="30" w:name="_Toc22381809"/>
      <w:r>
        <w:rPr>
          <w:szCs w:val="22"/>
        </w:rPr>
        <w:t>辅助管理</w:t>
      </w:r>
      <w:bookmarkEnd w:id="29"/>
      <w:bookmarkEnd w:id="30"/>
    </w:p>
    <w:p>
      <w:pPr>
        <w:pStyle w:val="40"/>
        <w:numPr>
          <w:ilvl w:val="0"/>
          <w:numId w:val="20"/>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20"/>
        </w:numPr>
        <w:bidi w:val="0"/>
      </w:pPr>
      <w:r>
        <w:t>产品在包装状态下通过配套的器材信息化管理系统出入库时，系统能读取RFID储存的相关信息。</w:t>
      </w:r>
    </w:p>
    <w:p>
      <w:pPr>
        <w:pStyle w:val="35"/>
        <w:bidi w:val="0"/>
      </w:pPr>
      <w:bookmarkStart w:id="31" w:name="_Toc19103445"/>
      <w:bookmarkStart w:id="32" w:name="_Toc22381810"/>
      <w:bookmarkStart w:id="33" w:name="_Toc162103351"/>
      <w:bookmarkStart w:id="34" w:name="_Toc162103619"/>
      <w:bookmarkStart w:id="35" w:name="_Toc162103011"/>
      <w:bookmarkStart w:id="36" w:name="_Toc427409374"/>
      <w:r>
        <w:t>接口</w:t>
      </w:r>
      <w:bookmarkEnd w:id="31"/>
      <w:bookmarkEnd w:id="32"/>
    </w:p>
    <w:p>
      <w:pPr>
        <w:pStyle w:val="37"/>
        <w:bidi w:val="0"/>
      </w:pPr>
      <w:bookmarkStart w:id="37" w:name="_Toc22381811"/>
      <w:bookmarkStart w:id="38" w:name="_Toc19103446"/>
      <w:r>
        <w:t>激光光学接口</w:t>
      </w:r>
      <w:bookmarkEnd w:id="37"/>
      <w:bookmarkEnd w:id="38"/>
    </w:p>
    <w:p>
      <w:pPr>
        <w:pStyle w:val="46"/>
        <w:bidi w:val="0"/>
      </w:pPr>
      <w:r>
        <w:t>产品发射机和接收探头组的激光光学特性、编解码标准符合LSJT-JKXY-01《陆军实兵交战系统红外激光光学接口规范》的要求。</w:t>
      </w:r>
    </w:p>
    <w:p>
      <w:pPr>
        <w:pStyle w:val="37"/>
        <w:bidi w:val="0"/>
      </w:pPr>
      <w:bookmarkStart w:id="39" w:name="_Toc19103447"/>
      <w:bookmarkStart w:id="40" w:name="_Toc22381812"/>
      <w:r>
        <w:t>信息交互接口</w:t>
      </w:r>
      <w:bookmarkEnd w:id="39"/>
      <w:bookmarkEnd w:id="40"/>
    </w:p>
    <w:bookmarkEnd w:id="33"/>
    <w:bookmarkEnd w:id="34"/>
    <w:bookmarkEnd w:id="35"/>
    <w:bookmarkEnd w:id="36"/>
    <w:p>
      <w:pPr>
        <w:pStyle w:val="40"/>
        <w:numPr>
          <w:ilvl w:val="0"/>
          <w:numId w:val="21"/>
        </w:numPr>
        <w:bidi w:val="0"/>
      </w:pPr>
      <w:bookmarkStart w:id="41" w:name="_Toc8723464"/>
      <w:bookmarkStart w:id="42" w:name="_Toc8916840"/>
      <w:r>
        <w:t>产品与主控软件无线交互接口和协议满足LSJT-JKXY-03《陆军实兵交战系统宽带无线通信接口规范》中相关指令要求；</w:t>
      </w:r>
    </w:p>
    <w:p>
      <w:pPr>
        <w:pStyle w:val="40"/>
        <w:numPr>
          <w:ilvl w:val="0"/>
          <w:numId w:val="21"/>
        </w:numPr>
        <w:bidi w:val="0"/>
      </w:pPr>
      <w:r>
        <w:t>产品与轻武器类、班组类等模拟器材无线交互接口和协议满足LSJT-JKXY-04《陆军实兵交战系统短距无线通信接口规范》中相关指令要求；</w:t>
      </w:r>
    </w:p>
    <w:p>
      <w:pPr>
        <w:pStyle w:val="40"/>
        <w:numPr>
          <w:ilvl w:val="0"/>
          <w:numId w:val="21"/>
        </w:numPr>
        <w:bidi w:val="0"/>
      </w:pPr>
      <w:r>
        <w:t>产品与地雷等面杀伤武器无线交互接口和协议满足LSJT-JKXY-04《陆军实兵交战系统短距无线通信接口规范》中相关指令要求；</w:t>
      </w:r>
    </w:p>
    <w:p>
      <w:pPr>
        <w:pStyle w:val="40"/>
        <w:numPr>
          <w:ilvl w:val="0"/>
          <w:numId w:val="21"/>
        </w:numPr>
        <w:bidi w:val="0"/>
      </w:pPr>
      <w:r>
        <w:t>产品被直瞄武器榴弹命中时，与其他终端无线交互接口和协议满足LSJT-JKXY-04《陆军实兵交战系统短距无线通信接口规范》中相关指令要求；</w:t>
      </w:r>
    </w:p>
    <w:p>
      <w:pPr>
        <w:pStyle w:val="40"/>
        <w:numPr>
          <w:ilvl w:val="0"/>
          <w:numId w:val="21"/>
        </w:numPr>
        <w:bidi w:val="0"/>
      </w:pPr>
      <w:r>
        <w:t>产品与装甲抢修模拟设备无线交互接口和协议满足LSJT-JKXY-02《陆军实兵交战系统红外短距数据通信接口规范》中相关指令要求；</w:t>
      </w:r>
    </w:p>
    <w:p>
      <w:pPr>
        <w:pStyle w:val="40"/>
        <w:numPr>
          <w:ilvl w:val="0"/>
          <w:numId w:val="21"/>
        </w:numPr>
        <w:bidi w:val="0"/>
      </w:pPr>
      <w:r>
        <w:t>产品与装弹采集器无线交互接口和协议应满足LSJT-JKXY-02《陆军实兵交战系统红外短距数据通信接口规范》和LSJT-JKXY-04《陆军实兵交战系统短距无线通信接口规范》中相关指令要求；</w:t>
      </w:r>
    </w:p>
    <w:p>
      <w:pPr>
        <w:pStyle w:val="40"/>
        <w:numPr>
          <w:ilvl w:val="0"/>
          <w:numId w:val="21"/>
        </w:numPr>
        <w:bidi w:val="0"/>
      </w:pPr>
      <w:r>
        <w:t>产品与弹药输送车模拟终端无线交互接口和协议满足LSJT-JKXY-02《陆军实兵交战系统红外短距数据通信接口规范》中相关指令要求；</w:t>
      </w:r>
    </w:p>
    <w:p>
      <w:pPr>
        <w:pStyle w:val="40"/>
        <w:numPr>
          <w:ilvl w:val="0"/>
          <w:numId w:val="21"/>
        </w:numPr>
        <w:bidi w:val="0"/>
      </w:pPr>
      <w:r>
        <w:t>产品与终端检测器无线交互接口和协议满足《陆军实兵交战系统红外短距数据通信接口规范》和《陆军实兵交战系统短距无线通信接口规范》中相关指令要求；</w:t>
      </w:r>
    </w:p>
    <w:p>
      <w:pPr>
        <w:pStyle w:val="40"/>
        <w:numPr>
          <w:ilvl w:val="0"/>
          <w:numId w:val="21"/>
        </w:numPr>
        <w:bidi w:val="0"/>
      </w:pPr>
      <w:r>
        <w:t>产品设计外部数据接口，满足主控软件在线升级和数据输入输出要求。</w:t>
      </w:r>
    </w:p>
    <w:p>
      <w:pPr>
        <w:pStyle w:val="35"/>
        <w:bidi w:val="0"/>
      </w:pPr>
      <w:bookmarkStart w:id="43" w:name="_Toc19103448"/>
      <w:bookmarkStart w:id="44" w:name="_Toc22381813"/>
      <w:r>
        <w:t>数据</w:t>
      </w:r>
      <w:bookmarkEnd w:id="41"/>
      <w:r>
        <w:t>存储</w:t>
      </w:r>
      <w:bookmarkEnd w:id="42"/>
      <w:bookmarkEnd w:id="43"/>
      <w:bookmarkEnd w:id="44"/>
    </w:p>
    <w:p>
      <w:pPr>
        <w:pStyle w:val="40"/>
        <w:numPr>
          <w:ilvl w:val="0"/>
          <w:numId w:val="22"/>
        </w:numPr>
        <w:bidi w:val="0"/>
      </w:pPr>
      <w:r>
        <w:t>具备50条交战事件自动存储能力，存储信息在产品掉电后不丢失，通信恢复后可自主上传；</w:t>
      </w:r>
    </w:p>
    <w:p>
      <w:pPr>
        <w:pStyle w:val="40"/>
        <w:numPr>
          <w:ilvl w:val="0"/>
          <w:numId w:val="22"/>
        </w:numPr>
        <w:bidi w:val="0"/>
      </w:pPr>
      <w:r>
        <w:t>产品能实时显示当前未完成上传事件数量。</w:t>
      </w:r>
    </w:p>
    <w:bookmarkEnd w:id="0"/>
    <w:bookmarkEnd w:id="1"/>
    <w:p>
      <w:pPr>
        <w:pStyle w:val="35"/>
        <w:bidi w:val="0"/>
      </w:pPr>
      <w:bookmarkStart w:id="45" w:name="_Toc19102415"/>
      <w:bookmarkStart w:id="46"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3"/>
        </w:numPr>
        <w:bidi w:val="0"/>
      </w:pPr>
      <w:r>
        <w:t>具有开机自检功能，检测内容包括火工品安装检测、定位状态检测等</w:t>
      </w:r>
    </w:p>
    <w:p>
      <w:pPr>
        <w:numPr>
          <w:ilvl w:val="0"/>
          <w:numId w:val="23"/>
        </w:numPr>
        <w:bidi w:val="0"/>
        <w:ind w:left="420" w:leftChars="0" w:hanging="420" w:firstLineChars="0"/>
      </w:pPr>
      <w:r>
        <w:rPr>
          <w:rFonts w:hint="eastAsia"/>
        </w:rPr>
        <w:t>产品能根据故障检测设备的测试指令自动完成故障定位输出，虚警率2%；</w:t>
      </w:r>
    </w:p>
    <w:p>
      <w:pPr>
        <w:numPr>
          <w:ilvl w:val="0"/>
          <w:numId w:val="2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3"/>
        </w:numPr>
        <w:bidi w:val="0"/>
        <w:ind w:left="420" w:leftChars="0" w:hanging="420" w:firstLineChars="0"/>
      </w:pPr>
      <w:r>
        <w:rPr>
          <w:rFonts w:hint="eastAsia"/>
        </w:rPr>
        <w:t>产品具有激光安全专用标识，标识内容与格式符合《GB  7247.1-2012/激光产品的安全/第1 部分设备分类、要求》中第 5 部分“标记”相关要求,产品激光发射口有明显安全标识；</w:t>
      </w:r>
    </w:p>
    <w:p>
      <w:pPr>
        <w:numPr>
          <w:ilvl w:val="0"/>
          <w:numId w:val="23"/>
        </w:numPr>
        <w:bidi w:val="0"/>
        <w:ind w:left="420" w:leftChars="0" w:hanging="420" w:firstLineChars="0"/>
      </w:pPr>
      <w:r>
        <w:rPr>
          <w:rFonts w:hint="eastAsia"/>
        </w:rPr>
        <w:t>产品符合相应人眼危害距离要求；</w:t>
      </w:r>
    </w:p>
    <w:p>
      <w:pPr>
        <w:numPr>
          <w:ilvl w:val="0"/>
          <w:numId w:val="23"/>
        </w:numPr>
        <w:bidi w:val="0"/>
        <w:ind w:left="420" w:leftChars="0" w:hanging="420" w:firstLineChars="0"/>
      </w:pPr>
      <w:r>
        <w:rPr>
          <w:rFonts w:hint="eastAsia"/>
        </w:rPr>
        <w:t>产品火工品安装处有安全警示标志和操作规程；</w:t>
      </w:r>
    </w:p>
    <w:p>
      <w:pPr>
        <w:numPr>
          <w:ilvl w:val="0"/>
          <w:numId w:val="2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振动</w:t>
      </w:r>
    </w:p>
    <w:p>
      <w:pPr>
        <w:pStyle w:val="46"/>
        <w:bidi w:val="0"/>
      </w:pPr>
      <w:r>
        <w:rPr>
          <w:rFonts w:hint="eastAsia"/>
        </w:rPr>
        <w:t>产品在符合GJB150.16A-2009图C.4履带车典型谱型和表D.1履带车固紧货物的窄带随机振动程序数据的环境下做振动后能正常工作。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5"/>
    <w:bookmarkEnd w:id="46"/>
    <w:p>
      <w:pPr>
        <w:pStyle w:val="35"/>
        <w:bidi w:val="0"/>
      </w:pPr>
      <w:bookmarkStart w:id="47" w:name="_Toc20344090"/>
      <w:bookmarkStart w:id="48" w:name="_Toc22376455"/>
      <w:bookmarkStart w:id="49" w:name="_Toc20238393"/>
      <w:bookmarkStart w:id="50" w:name="_Toc8916849"/>
      <w:bookmarkStart w:id="51" w:name="_Toc19102429"/>
      <w:bookmarkStart w:id="52" w:name="_Toc22379525"/>
      <w:r>
        <w:rPr>
          <w:rFonts w:hint="eastAsia"/>
        </w:rPr>
        <w:t>扩展性</w:t>
      </w:r>
      <w:bookmarkEnd w:id="47"/>
      <w:bookmarkEnd w:id="48"/>
      <w:bookmarkEnd w:id="49"/>
    </w:p>
    <w:p>
      <w:pPr>
        <w:pStyle w:val="46"/>
        <w:bidi w:val="0"/>
      </w:pPr>
      <w:r>
        <w:rPr>
          <w:rFonts w:hint="eastAsia"/>
        </w:rPr>
        <w:t>能接收主控软件下发的我军及外军同类武器火力和防护性能参数配置指令，并能按配置要求完成有效射程1500米以内的我军及外军装甲输送车效能模拟。</w:t>
      </w:r>
    </w:p>
    <w:p>
      <w:pPr>
        <w:pStyle w:val="35"/>
        <w:bidi w:val="0"/>
      </w:pPr>
      <w:r>
        <w:t>电磁兼容性要求</w:t>
      </w:r>
      <w:bookmarkEnd w:id="50"/>
      <w:bookmarkEnd w:id="51"/>
      <w:bookmarkEnd w:id="52"/>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4"/>
        </w:numPr>
        <w:bidi w:val="0"/>
      </w:pPr>
      <w:r>
        <w:t>RS103电场辐射敏感度（10kHz～40GHz）：10V/m；</w:t>
      </w:r>
    </w:p>
    <w:p>
      <w:pPr>
        <w:pStyle w:val="40"/>
        <w:numPr>
          <w:ilvl w:val="0"/>
          <w:numId w:val="24"/>
        </w:numPr>
        <w:bidi w:val="0"/>
      </w:pPr>
      <w:r>
        <w:t>CS114电缆束注入传导敏感度（4kHz～400MHz）：曲线二；</w:t>
      </w:r>
    </w:p>
    <w:p>
      <w:pPr>
        <w:pStyle w:val="40"/>
        <w:numPr>
          <w:ilvl w:val="0"/>
          <w:numId w:val="24"/>
        </w:numPr>
        <w:bidi w:val="0"/>
      </w:pPr>
      <w:r>
        <w:t>CS115电缆束注入脉冲激励传导敏感度：5A；</w:t>
      </w:r>
    </w:p>
    <w:p>
      <w:pPr>
        <w:pStyle w:val="40"/>
        <w:numPr>
          <w:ilvl w:val="0"/>
          <w:numId w:val="24"/>
        </w:numPr>
        <w:bidi w:val="0"/>
      </w:pPr>
      <w:r>
        <w:t>CS116电缆和电源线阻尼正弦瞬态传导敏感度（10kHz～100MHz）：标准限值；</w:t>
      </w:r>
    </w:p>
    <w:p>
      <w:pPr>
        <w:pStyle w:val="40"/>
        <w:numPr>
          <w:ilvl w:val="0"/>
          <w:numId w:val="24"/>
        </w:numPr>
        <w:bidi w:val="0"/>
      </w:pPr>
      <w:r>
        <w:t>RE102电场辐射发射（10kHz～18GHz）：标准限值+20dB。</w:t>
      </w:r>
    </w:p>
    <w:p>
      <w:pPr>
        <w:pStyle w:val="35"/>
        <w:bidi w:val="0"/>
      </w:pPr>
      <w:bookmarkStart w:id="53" w:name="_Toc8723475"/>
      <w:bookmarkStart w:id="54" w:name="_Toc22376172"/>
      <w:bookmarkStart w:id="55" w:name="_Toc20341456"/>
      <w:r>
        <w:t>供电</w:t>
      </w:r>
      <w:bookmarkEnd w:id="53"/>
      <w:bookmarkEnd w:id="54"/>
      <w:bookmarkEnd w:id="55"/>
    </w:p>
    <w:p>
      <w:pPr>
        <w:pStyle w:val="40"/>
        <w:numPr>
          <w:ilvl w:val="0"/>
          <w:numId w:val="25"/>
        </w:numPr>
        <w:bidi w:val="0"/>
      </w:pPr>
      <w:r>
        <w:t>能通过装甲输送车车载电源进行供电，电压范围12V～36V；</w:t>
      </w:r>
    </w:p>
    <w:p>
      <w:pPr>
        <w:pStyle w:val="40"/>
        <w:numPr>
          <w:ilvl w:val="0"/>
          <w:numId w:val="25"/>
        </w:numPr>
        <w:bidi w:val="0"/>
      </w:pPr>
      <w:r>
        <w:t>产品高射机枪发射机采用锂电池供电，规格参数符合GJB916B-2011《军用锂电池产品规范》的要求；</w:t>
      </w:r>
    </w:p>
    <w:p>
      <w:pPr>
        <w:pStyle w:val="40"/>
        <w:numPr>
          <w:ilvl w:val="0"/>
          <w:numId w:val="25"/>
        </w:numPr>
        <w:bidi w:val="0"/>
      </w:pPr>
      <w:r>
        <w:t>产品高射机枪发射机电池容量满足连续工作时间</w:t>
      </w:r>
      <w:r>
        <w:rPr>
          <w:rFonts w:hint="eastAsia"/>
          <w:lang w:eastAsia="zh-CN"/>
        </w:rPr>
        <w:t>：</w:t>
      </w:r>
      <w:r>
        <w:t>12h（单组电池）要求；</w:t>
      </w:r>
    </w:p>
    <w:p>
      <w:pPr>
        <w:pStyle w:val="40"/>
        <w:numPr>
          <w:ilvl w:val="0"/>
          <w:numId w:val="25"/>
        </w:numPr>
        <w:bidi w:val="0"/>
      </w:pPr>
      <w:r>
        <w:t>产品高射机枪发射机单组电池充电时间：6h；</w:t>
      </w:r>
    </w:p>
    <w:p>
      <w:pPr>
        <w:pStyle w:val="40"/>
        <w:numPr>
          <w:ilvl w:val="0"/>
          <w:numId w:val="25"/>
        </w:numPr>
        <w:bidi w:val="0"/>
      </w:pPr>
      <w:r>
        <w:t>产品高射机枪发射机提供1组备用电池，电池更换时间</w:t>
      </w:r>
      <w:r>
        <w:rPr>
          <w:rFonts w:hint="eastAsia"/>
          <w:lang w:eastAsia="zh-CN"/>
        </w:rPr>
        <w:t>：</w:t>
      </w:r>
      <w:r>
        <w:t>1min。</w:t>
      </w:r>
    </w:p>
    <w:p>
      <w:pPr>
        <w:pStyle w:val="35"/>
        <w:bidi w:val="0"/>
      </w:pPr>
      <w:bookmarkStart w:id="56" w:name="_Toc22376173"/>
      <w:bookmarkStart w:id="57" w:name="_Toc20341457"/>
      <w:r>
        <w:t>安装使用</w:t>
      </w:r>
      <w:bookmarkEnd w:id="56"/>
      <w:bookmarkEnd w:id="57"/>
    </w:p>
    <w:p>
      <w:pPr>
        <w:pStyle w:val="40"/>
        <w:numPr>
          <w:ilvl w:val="0"/>
          <w:numId w:val="26"/>
        </w:numPr>
        <w:bidi w:val="0"/>
      </w:pPr>
      <w:bookmarkStart w:id="58" w:name="_Toc19102438"/>
      <w:bookmarkStart w:id="59" w:name="_Toc22379534"/>
      <w:r>
        <w:t>产品固定方式充分考虑便捷性要求，固定安装时间</w:t>
      </w:r>
      <w:r>
        <w:rPr>
          <w:rFonts w:hint="eastAsia"/>
          <w:lang w:eastAsia="zh-CN"/>
        </w:rPr>
        <w:t>：</w:t>
      </w:r>
      <w:r>
        <w:t>10</w:t>
      </w:r>
      <w:r>
        <w:rPr>
          <w:rFonts w:hint="eastAsia"/>
        </w:rPr>
        <w:t>min</w:t>
      </w:r>
      <w:r>
        <w:t>（3人参与）；</w:t>
      </w:r>
    </w:p>
    <w:p>
      <w:pPr>
        <w:pStyle w:val="40"/>
        <w:numPr>
          <w:ilvl w:val="0"/>
          <w:numId w:val="26"/>
        </w:numPr>
        <w:bidi w:val="0"/>
      </w:pPr>
      <w:r>
        <w:t>产品固定方式充分考虑牢固性要求，在装甲输送车行进和射击过程中不出现松动；</w:t>
      </w:r>
    </w:p>
    <w:p>
      <w:pPr>
        <w:pStyle w:val="40"/>
        <w:numPr>
          <w:ilvl w:val="0"/>
          <w:numId w:val="26"/>
        </w:numPr>
        <w:bidi w:val="0"/>
      </w:pPr>
      <w:r>
        <w:t>产品发射机校准时间5</w:t>
      </w:r>
      <w:r>
        <w:rPr>
          <w:rFonts w:hint="eastAsia"/>
        </w:rPr>
        <w:t>min</w:t>
      </w:r>
      <w:r>
        <w:t>；</w:t>
      </w:r>
    </w:p>
    <w:p>
      <w:pPr>
        <w:pStyle w:val="40"/>
        <w:numPr>
          <w:ilvl w:val="0"/>
          <w:numId w:val="26"/>
        </w:numPr>
        <w:bidi w:val="0"/>
      </w:pPr>
      <w:bookmarkStart w:id="60" w:name="_GoBack"/>
      <w:bookmarkEnd w:id="60"/>
      <w:r>
        <w:t>产品固定后，不影响实装装甲输送车操作。</w:t>
      </w:r>
    </w:p>
    <w:p>
      <w:pPr>
        <w:pStyle w:val="35"/>
        <w:bidi w:val="0"/>
      </w:pPr>
      <w:r>
        <w:t>成套性</w:t>
      </w:r>
      <w:bookmarkEnd w:id="58"/>
      <w:bookmarkEnd w:id="5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位</w:t>
            </w:r>
          </w:p>
        </w:tc>
        <w:tc>
          <w:tcPr>
            <w:tcW w:w="4550"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舱内显控设备</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高射机枪发射机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6</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接收探头组</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7</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火工品</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w:t>
            </w:r>
            <w:r>
              <w:rPr>
                <w:rFonts w:hint="eastAsia" w:ascii="宋体" w:hAnsi="宋体" w:cs="宋体"/>
                <w:kern w:val="0"/>
                <w:sz w:val="18"/>
                <w:szCs w:val="18"/>
              </w:rPr>
              <w:t>Ⅱ</w:t>
            </w:r>
            <w:r>
              <w:rPr>
                <w:rFonts w:ascii="Calibri" w:hAnsi="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8</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电池</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2</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组</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电池型号14500，含1组备用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9</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10</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运输包装箱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11</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产品资料</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含使用说明书、合格证、装箱清单、</w:t>
            </w:r>
            <w:r>
              <w:rPr>
                <w:rFonts w:ascii="Calibri" w:hAnsi="Calibri"/>
                <w:sz w:val="18"/>
                <w:szCs w:val="18"/>
              </w:rPr>
              <w:t>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1E2D596F"/>
    <w:multiLevelType w:val="multilevel"/>
    <w:tmpl w:val="1E2D596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00816FC"/>
    <w:multiLevelType w:val="singleLevel"/>
    <w:tmpl w:val="200816FC"/>
    <w:lvl w:ilvl="0" w:tentative="0">
      <w:start w:val="1"/>
      <w:numFmt w:val="lowerLetter"/>
      <w:lvlText w:val="%1)"/>
      <w:lvlJc w:val="left"/>
      <w:pPr>
        <w:tabs>
          <w:tab w:val="left" w:pos="800"/>
        </w:tabs>
        <w:ind w:left="800" w:hanging="400"/>
      </w:pPr>
    </w:lvl>
  </w:abstractNum>
  <w:abstractNum w:abstractNumId="7">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0">
    <w:nsid w:val="2AC510FC"/>
    <w:multiLevelType w:val="singleLevel"/>
    <w:tmpl w:val="2AC510FC"/>
    <w:lvl w:ilvl="0" w:tentative="0">
      <w:start w:val="1"/>
      <w:numFmt w:val="lowerLetter"/>
      <w:lvlText w:val="%1)"/>
      <w:lvlJc w:val="left"/>
      <w:pPr>
        <w:tabs>
          <w:tab w:val="left" w:pos="800"/>
        </w:tabs>
        <w:ind w:left="800" w:hanging="400"/>
      </w:pPr>
    </w:lvl>
  </w:abstractNum>
  <w:abstractNum w:abstractNumId="11">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3B685329"/>
    <w:multiLevelType w:val="singleLevel"/>
    <w:tmpl w:val="3B685329"/>
    <w:lvl w:ilvl="0" w:tentative="0">
      <w:start w:val="1"/>
      <w:numFmt w:val="lowerLetter"/>
      <w:lvlText w:val="%1)"/>
      <w:lvlJc w:val="left"/>
      <w:pPr>
        <w:tabs>
          <w:tab w:val="left" w:pos="826"/>
        </w:tabs>
        <w:ind w:left="826" w:hanging="400"/>
      </w:pPr>
    </w:lvl>
  </w:abstractNum>
  <w:abstractNum w:abstractNumId="14">
    <w:nsid w:val="41AC317E"/>
    <w:multiLevelType w:val="singleLevel"/>
    <w:tmpl w:val="41AC317E"/>
    <w:lvl w:ilvl="0" w:tentative="0">
      <w:start w:val="1"/>
      <w:numFmt w:val="lowerLetter"/>
      <w:lvlText w:val="%1)"/>
      <w:lvlJc w:val="left"/>
      <w:pPr>
        <w:tabs>
          <w:tab w:val="left" w:pos="800"/>
        </w:tabs>
        <w:ind w:left="800" w:hanging="400"/>
      </w:pPr>
    </w:lvl>
  </w:abstractNum>
  <w:abstractNum w:abstractNumId="15">
    <w:nsid w:val="42BE3562"/>
    <w:multiLevelType w:val="singleLevel"/>
    <w:tmpl w:val="42BE3562"/>
    <w:lvl w:ilvl="0" w:tentative="0">
      <w:start w:val="1"/>
      <w:numFmt w:val="lowerLetter"/>
      <w:lvlText w:val="%1)"/>
      <w:lvlJc w:val="left"/>
      <w:pPr>
        <w:tabs>
          <w:tab w:val="left" w:pos="800"/>
        </w:tabs>
        <w:ind w:left="800" w:hanging="400"/>
      </w:pPr>
    </w:lvl>
  </w:abstractNum>
  <w:abstractNum w:abstractNumId="16">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7">
    <w:nsid w:val="4C90784C"/>
    <w:multiLevelType w:val="singleLevel"/>
    <w:tmpl w:val="4C90784C"/>
    <w:lvl w:ilvl="0" w:tentative="0">
      <w:start w:val="1"/>
      <w:numFmt w:val="lowerLetter"/>
      <w:lvlText w:val="%1)"/>
      <w:lvlJc w:val="left"/>
      <w:pPr>
        <w:tabs>
          <w:tab w:val="left" w:pos="800"/>
        </w:tabs>
        <w:ind w:left="800" w:hanging="400"/>
      </w:pPr>
    </w:lvl>
  </w:abstractNum>
  <w:abstractNum w:abstractNumId="18">
    <w:nsid w:val="4D6D17FE"/>
    <w:multiLevelType w:val="singleLevel"/>
    <w:tmpl w:val="4D6D17FE"/>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3996AF4"/>
    <w:multiLevelType w:val="singleLevel"/>
    <w:tmpl w:val="53996AF4"/>
    <w:lvl w:ilvl="0" w:tentative="0">
      <w:start w:val="1"/>
      <w:numFmt w:val="lowerLetter"/>
      <w:lvlText w:val="%1)"/>
      <w:lvlJc w:val="left"/>
      <w:pPr>
        <w:tabs>
          <w:tab w:val="left" w:pos="800"/>
        </w:tabs>
        <w:ind w:left="800" w:hanging="400"/>
      </w:pPr>
    </w:lvl>
  </w:abstractNum>
  <w:abstractNum w:abstractNumId="21">
    <w:nsid w:val="5A7E55D2"/>
    <w:multiLevelType w:val="singleLevel"/>
    <w:tmpl w:val="5A7E55D2"/>
    <w:lvl w:ilvl="0" w:tentative="0">
      <w:start w:val="1"/>
      <w:numFmt w:val="lowerLetter"/>
      <w:lvlText w:val="%1)"/>
      <w:lvlJc w:val="left"/>
      <w:pPr>
        <w:tabs>
          <w:tab w:val="left" w:pos="800"/>
        </w:tabs>
        <w:ind w:left="800" w:hanging="400"/>
      </w:pPr>
    </w:lvl>
  </w:abstractNum>
  <w:abstractNum w:abstractNumId="22">
    <w:nsid w:val="682F1CE3"/>
    <w:multiLevelType w:val="singleLevel"/>
    <w:tmpl w:val="682F1CE3"/>
    <w:lvl w:ilvl="0" w:tentative="0">
      <w:start w:val="1"/>
      <w:numFmt w:val="lowerLetter"/>
      <w:lvlText w:val="%1)"/>
      <w:lvlJc w:val="left"/>
      <w:pPr>
        <w:tabs>
          <w:tab w:val="left" w:pos="800"/>
        </w:tabs>
        <w:ind w:left="800" w:hanging="400"/>
      </w:pPr>
    </w:lvl>
  </w:abstractNum>
  <w:abstractNum w:abstractNumId="23">
    <w:nsid w:val="6CD45545"/>
    <w:multiLevelType w:val="singleLevel"/>
    <w:tmpl w:val="6CD45545"/>
    <w:lvl w:ilvl="0" w:tentative="0">
      <w:start w:val="1"/>
      <w:numFmt w:val="lowerLetter"/>
      <w:lvlText w:val="%1)"/>
      <w:lvlJc w:val="left"/>
      <w:pPr>
        <w:tabs>
          <w:tab w:val="left" w:pos="800"/>
        </w:tabs>
        <w:ind w:left="800" w:hanging="400"/>
      </w:pPr>
    </w:lvl>
  </w:abstractNum>
  <w:abstractNum w:abstractNumId="24">
    <w:nsid w:val="6F903CAE"/>
    <w:multiLevelType w:val="singleLevel"/>
    <w:tmpl w:val="6F903CAE"/>
    <w:lvl w:ilvl="0" w:tentative="0">
      <w:start w:val="1"/>
      <w:numFmt w:val="lowerLetter"/>
      <w:lvlText w:val="%1)"/>
      <w:lvlJc w:val="left"/>
      <w:pPr>
        <w:tabs>
          <w:tab w:val="left" w:pos="800"/>
        </w:tabs>
        <w:ind w:left="800" w:hanging="400"/>
      </w:pPr>
    </w:lvl>
  </w:abstractNum>
  <w:abstractNum w:abstractNumId="25">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1"/>
  </w:num>
  <w:num w:numId="2">
    <w:abstractNumId w:val="1"/>
  </w:num>
  <w:num w:numId="3">
    <w:abstractNumId w:val="0"/>
  </w:num>
  <w:num w:numId="4">
    <w:abstractNumId w:val="9"/>
  </w:num>
  <w:num w:numId="5">
    <w:abstractNumId w:val="7"/>
  </w:num>
  <w:num w:numId="6">
    <w:abstractNumId w:val="12"/>
  </w:num>
  <w:num w:numId="7">
    <w:abstractNumId w:val="19"/>
  </w:num>
  <w:num w:numId="8">
    <w:abstractNumId w:val="2"/>
  </w:num>
  <w:num w:numId="9">
    <w:abstractNumId w:val="22"/>
  </w:num>
  <w:num w:numId="10">
    <w:abstractNumId w:val="25"/>
  </w:num>
  <w:num w:numId="11">
    <w:abstractNumId w:val="3"/>
  </w:num>
  <w:num w:numId="12">
    <w:abstractNumId w:val="8"/>
  </w:num>
  <w:num w:numId="13">
    <w:abstractNumId w:val="5"/>
  </w:num>
  <w:num w:numId="14">
    <w:abstractNumId w:val="16"/>
  </w:num>
  <w:num w:numId="15">
    <w:abstractNumId w:val="24"/>
  </w:num>
  <w:num w:numId="16">
    <w:abstractNumId w:val="23"/>
  </w:num>
  <w:num w:numId="17">
    <w:abstractNumId w:val="21"/>
  </w:num>
  <w:num w:numId="18">
    <w:abstractNumId w:val="20"/>
  </w:num>
  <w:num w:numId="19">
    <w:abstractNumId w:val="15"/>
  </w:num>
  <w:num w:numId="20">
    <w:abstractNumId w:val="13"/>
  </w:num>
  <w:num w:numId="21">
    <w:abstractNumId w:val="14"/>
  </w:num>
  <w:num w:numId="22">
    <w:abstractNumId w:val="17"/>
  </w:num>
  <w:num w:numId="23">
    <w:abstractNumId w:val="4"/>
  </w:num>
  <w:num w:numId="24">
    <w:abstractNumId w:val="18"/>
    <w:lvlOverride w:ilvl="0">
      <w:startOverride w:val="1"/>
    </w:lvlOverride>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5B03A4C"/>
    <w:rsid w:val="07FB0A26"/>
    <w:rsid w:val="08AD2073"/>
    <w:rsid w:val="090514BA"/>
    <w:rsid w:val="09975BD2"/>
    <w:rsid w:val="0A6D1DCA"/>
    <w:rsid w:val="0ABB46E2"/>
    <w:rsid w:val="0BFD0E2D"/>
    <w:rsid w:val="0CB36566"/>
    <w:rsid w:val="0D070E08"/>
    <w:rsid w:val="0D2549DE"/>
    <w:rsid w:val="0D7633A7"/>
    <w:rsid w:val="0F915954"/>
    <w:rsid w:val="10416B87"/>
    <w:rsid w:val="11CD2746"/>
    <w:rsid w:val="12F75941"/>
    <w:rsid w:val="13E350F6"/>
    <w:rsid w:val="151C7E35"/>
    <w:rsid w:val="155E541B"/>
    <w:rsid w:val="16564E4B"/>
    <w:rsid w:val="16B33102"/>
    <w:rsid w:val="185356DB"/>
    <w:rsid w:val="18AB172A"/>
    <w:rsid w:val="19C8321E"/>
    <w:rsid w:val="1AA54D6C"/>
    <w:rsid w:val="1ACD6B3F"/>
    <w:rsid w:val="1AFD3D34"/>
    <w:rsid w:val="1B07030F"/>
    <w:rsid w:val="1B1E4D4B"/>
    <w:rsid w:val="1C0256CB"/>
    <w:rsid w:val="1D281E65"/>
    <w:rsid w:val="1D56022F"/>
    <w:rsid w:val="1D6C0658"/>
    <w:rsid w:val="1DFE2872"/>
    <w:rsid w:val="1E356E8E"/>
    <w:rsid w:val="220B1CEC"/>
    <w:rsid w:val="239C0D78"/>
    <w:rsid w:val="241D510D"/>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2F777D14"/>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602D74"/>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53C5602"/>
    <w:rsid w:val="66DB718F"/>
    <w:rsid w:val="679A2E87"/>
    <w:rsid w:val="67AB6895"/>
    <w:rsid w:val="68D921A8"/>
    <w:rsid w:val="6A7841D9"/>
    <w:rsid w:val="6A8054B1"/>
    <w:rsid w:val="6B6D0362"/>
    <w:rsid w:val="6B993D4E"/>
    <w:rsid w:val="6CD602B7"/>
    <w:rsid w:val="6D9F2B6E"/>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