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bidi w:val="0"/>
        <w:rPr>
          <w:rFonts w:hint="eastAsia"/>
          <w:lang w:val="en-US" w:eastAsia="zh-CN"/>
        </w:rPr>
      </w:pPr>
      <w:r>
        <w:rPr>
          <w:rFonts w:hint="eastAsia"/>
          <w:lang w:val="en-US" w:eastAsia="zh-CN"/>
        </w:rPr>
        <w:t>120mm反坦克火箭模拟终端 技术规格书</w:t>
      </w:r>
    </w:p>
    <w:tbl>
      <w:tblPr>
        <w:tblStyle w:val="23"/>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1"/>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1" w:type="dxa"/>
            <w:vAlign w:val="center"/>
          </w:tcPr>
          <w:p>
            <w:pPr>
              <w:jc w:val="center"/>
              <w:rPr>
                <w:rFonts w:hint="eastAsia"/>
                <w:vertAlign w:val="baseline"/>
                <w:lang w:val="en-US" w:eastAsia="zh-CN"/>
              </w:rPr>
            </w:pPr>
            <w:r>
              <w:rPr>
                <w:rFonts w:hint="default"/>
                <w:lang w:val="en-US" w:eastAsia="zh-CN"/>
              </w:rPr>
              <w:drawing>
                <wp:inline distT="0" distB="0" distL="114300" distR="114300">
                  <wp:extent cx="4239260" cy="2138680"/>
                  <wp:effectExtent l="0" t="0" r="8890" b="13970"/>
                  <wp:docPr id="38" name="图片 38" descr="微信图片_20181024150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微信图片_20181024150650"/>
                          <pic:cNvPicPr>
                            <a:picLocks noChangeAspect="1"/>
                          </pic:cNvPicPr>
                        </pic:nvPicPr>
                        <pic:blipFill>
                          <a:blip r:embed="rId6"/>
                          <a:srcRect t="14982" b="17746"/>
                          <a:stretch>
                            <a:fillRect/>
                          </a:stretch>
                        </pic:blipFill>
                        <pic:spPr>
                          <a:xfrm>
                            <a:off x="0" y="0"/>
                            <a:ext cx="4239260" cy="2138680"/>
                          </a:xfrm>
                          <a:prstGeom prst="rect">
                            <a:avLst/>
                          </a:prstGeom>
                        </pic:spPr>
                      </pic:pic>
                    </a:graphicData>
                  </a:graphic>
                </wp:inline>
              </w:drawing>
            </w:r>
          </w:p>
        </w:tc>
        <w:tc>
          <w:tcPr>
            <w:tcW w:w="2271" w:type="dxa"/>
            <w:vAlign w:val="center"/>
          </w:tcPr>
          <w:p>
            <w:pPr>
              <w:jc w:val="center"/>
              <w:rPr>
                <w:rFonts w:hint="eastAsia"/>
                <w:vertAlign w:val="baseline"/>
                <w:lang w:val="en-US" w:eastAsia="zh-CN"/>
              </w:rPr>
            </w:pPr>
            <w:r>
              <w:rPr>
                <w:rFonts w:ascii="宋体" w:hAnsi="宋体"/>
                <w:color w:val="FF0000"/>
                <w:sz w:val="24"/>
                <w:szCs w:val="24"/>
              </w:rPr>
              <w:drawing>
                <wp:inline distT="0" distB="0" distL="0" distR="0">
                  <wp:extent cx="795020" cy="2337435"/>
                  <wp:effectExtent l="0" t="0" r="5080" b="5715"/>
                  <wp:docPr id="39" name="图片 39" descr="模拟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模拟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95020" cy="2337435"/>
                          </a:xfrm>
                          <a:prstGeom prst="rect">
                            <a:avLst/>
                          </a:prstGeom>
                          <a:noFill/>
                          <a:ln>
                            <a:noFill/>
                          </a:ln>
                        </pic:spPr>
                      </pic:pic>
                    </a:graphicData>
                  </a:graphic>
                </wp:inline>
              </w:drawing>
            </w:r>
          </w:p>
        </w:tc>
      </w:tr>
    </w:tbl>
    <w:p>
      <w:pPr>
        <w:pStyle w:val="35"/>
        <w:bidi w:val="0"/>
      </w:pPr>
      <w:r>
        <w:rPr>
          <w:rFonts w:hint="eastAsia"/>
          <w:lang w:val="en-US" w:eastAsia="zh-CN"/>
        </w:rPr>
        <w:t>120mm反坦克火箭模拟终端</w:t>
      </w:r>
      <w:r>
        <w:t>用途</w:t>
      </w:r>
    </w:p>
    <w:p>
      <w:pPr>
        <w:spacing w:line="240" w:lineRule="auto"/>
        <w:ind w:firstLine="560" w:firstLineChars="200"/>
      </w:pPr>
      <w:r>
        <w:rPr>
          <w:rFonts w:hint="eastAsia" w:ascii="仿宋_GB2312" w:hAnsi="仿宋_GB2312" w:cs="仿宋_GB2312"/>
          <w:color w:val="auto"/>
          <w:sz w:val="28"/>
          <w:szCs w:val="28"/>
          <w:lang w:val="en-US" w:eastAsia="zh-CN"/>
        </w:rPr>
        <w:t>120mm反坦克火箭筒模拟终端主要是用于</w:t>
      </w:r>
      <w:r>
        <w:rPr>
          <w:rFonts w:hint="eastAsia" w:ascii="仿宋_GB2312" w:hAnsi="仿宋_GB2312" w:eastAsia="仿宋_GB2312" w:cs="仿宋_GB2312"/>
          <w:color w:val="auto"/>
          <w:sz w:val="28"/>
          <w:szCs w:val="28"/>
          <w:lang w:val="en-US" w:eastAsia="zh-CN"/>
        </w:rPr>
        <w:t>模拟营用、连用</w:t>
      </w:r>
      <w:r>
        <w:rPr>
          <w:rFonts w:hint="eastAsia" w:ascii="仿宋_GB2312" w:hAnsi="仿宋_GB2312" w:eastAsia="仿宋_GB2312" w:cs="仿宋_GB2312"/>
          <w:color w:val="auto"/>
          <w:sz w:val="28"/>
          <w:szCs w:val="28"/>
        </w:rPr>
        <w:t>120mm</w:t>
      </w:r>
      <w:r>
        <w:rPr>
          <w:rFonts w:hint="eastAsia" w:ascii="仿宋_GB2312" w:hAnsi="仿宋_GB2312" w:eastAsia="仿宋_GB2312" w:cs="仿宋_GB2312"/>
          <w:color w:val="auto"/>
          <w:sz w:val="28"/>
          <w:szCs w:val="28"/>
          <w:lang w:val="en-US" w:eastAsia="zh-CN"/>
        </w:rPr>
        <w:t>反坦克</w:t>
      </w:r>
      <w:r>
        <w:rPr>
          <w:rFonts w:hint="eastAsia" w:ascii="仿宋_GB2312" w:hAnsi="仿宋_GB2312" w:eastAsia="仿宋_GB2312" w:cs="仿宋_GB2312"/>
          <w:color w:val="auto"/>
          <w:sz w:val="28"/>
          <w:szCs w:val="28"/>
        </w:rPr>
        <w:t>火箭筒对于目标单位的测距、打击效能,并模拟打击效果(提供声光显示);模拟120mm</w:t>
      </w:r>
      <w:r>
        <w:rPr>
          <w:rFonts w:hint="eastAsia" w:ascii="仿宋_GB2312" w:hAnsi="仿宋_GB2312" w:eastAsia="仿宋_GB2312" w:cs="仿宋_GB2312"/>
          <w:color w:val="auto"/>
          <w:sz w:val="28"/>
          <w:szCs w:val="28"/>
          <w:lang w:val="en-US" w:eastAsia="zh-CN"/>
        </w:rPr>
        <w:t>反坦克</w:t>
      </w:r>
      <w:r>
        <w:rPr>
          <w:rFonts w:hint="eastAsia" w:ascii="仿宋_GB2312" w:hAnsi="仿宋_GB2312" w:eastAsia="仿宋_GB2312" w:cs="仿宋_GB2312"/>
          <w:color w:val="auto"/>
          <w:sz w:val="28"/>
          <w:szCs w:val="28"/>
        </w:rPr>
        <w:t>火箭筒受打击后的毁伤效果(</w:t>
      </w:r>
      <w:r>
        <w:rPr>
          <w:rFonts w:hint="eastAsia" w:ascii="仿宋_GB2312" w:hAnsi="仿宋_GB2312" w:eastAsia="仿宋_GB2312" w:cs="仿宋_GB2312"/>
          <w:color w:val="auto"/>
          <w:sz w:val="28"/>
          <w:szCs w:val="28"/>
          <w:lang w:eastAsia="zh-CN"/>
        </w:rPr>
        <w:t>具有</w:t>
      </w:r>
      <w:r>
        <w:rPr>
          <w:rFonts w:hint="eastAsia" w:ascii="仿宋_GB2312" w:hAnsi="仿宋_GB2312" w:eastAsia="仿宋_GB2312" w:cs="仿宋_GB2312"/>
          <w:color w:val="auto"/>
          <w:sz w:val="28"/>
          <w:szCs w:val="28"/>
        </w:rPr>
        <w:t>烟募显示),</w:t>
      </w:r>
      <w:r>
        <w:rPr>
          <w:rFonts w:hint="eastAsia" w:ascii="仿宋_GB2312" w:hAnsi="仿宋_GB2312" w:eastAsia="仿宋_GB2312" w:cs="仿宋_GB2312"/>
          <w:color w:val="auto"/>
          <w:sz w:val="28"/>
          <w:szCs w:val="28"/>
          <w:lang w:eastAsia="zh-CN"/>
        </w:rPr>
        <w:t>具有数据接口，武器可被摧毁，直接装设于实装上</w:t>
      </w:r>
      <w:r>
        <w:t>。</w:t>
      </w:r>
    </w:p>
    <w:p>
      <w:pPr>
        <w:pStyle w:val="35"/>
        <w:bidi w:val="0"/>
      </w:pPr>
      <w:r>
        <w:rPr>
          <w:rFonts w:hint="eastAsia"/>
          <w:lang w:val="en-US" w:eastAsia="zh-CN"/>
        </w:rPr>
        <w:t>120mm反坦克火箭模拟终端</w:t>
      </w:r>
      <w:r>
        <w:t>组成</w:t>
      </w:r>
    </w:p>
    <w:p>
      <w:pPr>
        <w:ind w:firstLine="560" w:firstLineChars="200"/>
        <w:rPr>
          <w:rFonts w:hint="eastAsia" w:ascii="仿宋_GB2312" w:hAnsi="仿宋_GB2312" w:eastAsia="仿宋_GB2312" w:cs="仿宋_GB2312"/>
          <w:sz w:val="28"/>
          <w:szCs w:val="28"/>
          <w:lang w:val="en-US" w:eastAsia="zh-CN"/>
        </w:rPr>
      </w:pPr>
      <w:r>
        <w:rPr>
          <w:rFonts w:hint="eastAsia"/>
          <w:lang w:val="en-US" w:eastAsia="zh-CN"/>
        </w:rPr>
        <w:t>120mm反坦克火箭筒模拟终端主要由：</w:t>
      </w:r>
      <w:r>
        <w:rPr>
          <w:rFonts w:hint="eastAsia" w:ascii="仿宋_GB2312" w:hAnsi="仿宋_GB2312" w:eastAsia="仿宋_GB2312" w:cs="仿宋_GB2312"/>
          <w:sz w:val="28"/>
          <w:szCs w:val="28"/>
          <w:lang w:val="en-US" w:eastAsia="zh-CN"/>
        </w:rPr>
        <w:t>模拟</w:t>
      </w:r>
      <w:r>
        <w:rPr>
          <w:rFonts w:hint="eastAsia" w:ascii="仿宋_GB2312" w:hAnsi="仿宋_GB2312" w:cs="仿宋_GB2312"/>
          <w:sz w:val="28"/>
          <w:szCs w:val="28"/>
          <w:lang w:val="en-US" w:eastAsia="zh-CN"/>
        </w:rPr>
        <w:t>主机（</w:t>
      </w:r>
      <w:r>
        <w:rPr>
          <w:rFonts w:hint="eastAsia" w:ascii="仿宋_GB2312" w:hAnsi="仿宋_GB2312" w:eastAsia="仿宋_GB2312" w:cs="仿宋_GB2312"/>
          <w:sz w:val="28"/>
          <w:szCs w:val="28"/>
          <w:lang w:val="en-US" w:eastAsia="zh-CN"/>
        </w:rPr>
        <w:t>火控</w:t>
      </w:r>
      <w:r>
        <w:rPr>
          <w:rFonts w:hint="eastAsia" w:ascii="仿宋_GB2312" w:hAnsi="仿宋_GB2312" w:cs="仿宋_GB2312"/>
          <w:sz w:val="28"/>
          <w:szCs w:val="28"/>
          <w:lang w:val="en-US" w:eastAsia="zh-CN"/>
        </w:rPr>
        <w:t>）</w:t>
      </w:r>
      <w:r>
        <w:rPr>
          <w:rFonts w:hint="eastAsia" w:ascii="仿宋_GB2312" w:hAnsi="仿宋_GB2312" w:eastAsia="仿宋_GB2312" w:cs="仿宋_GB2312"/>
          <w:sz w:val="28"/>
          <w:szCs w:val="28"/>
          <w:lang w:val="en-US" w:eastAsia="zh-CN"/>
        </w:rPr>
        <w:t>、</w:t>
      </w:r>
      <w:r>
        <w:rPr>
          <w:rFonts w:hint="eastAsia" w:ascii="仿宋_GB2312" w:hAnsi="仿宋_GB2312" w:cs="仿宋_GB2312"/>
          <w:sz w:val="28"/>
          <w:szCs w:val="28"/>
          <w:lang w:val="en-US" w:eastAsia="zh-CN"/>
        </w:rPr>
        <w:t>导焰管、命中及发射效果模拟装置</w:t>
      </w:r>
      <w:r>
        <w:rPr>
          <w:rFonts w:hint="eastAsia" w:ascii="仿宋_GB2312" w:hAnsi="仿宋_GB2312" w:eastAsia="仿宋_GB2312" w:cs="仿宋_GB2312"/>
          <w:sz w:val="28"/>
          <w:szCs w:val="28"/>
          <w:lang w:val="en-US" w:eastAsia="zh-CN"/>
        </w:rPr>
        <w:t>、</w:t>
      </w:r>
      <w:r>
        <w:rPr>
          <w:rFonts w:hint="eastAsia" w:ascii="仿宋_GB2312" w:hAnsi="仿宋_GB2312" w:cs="仿宋_GB2312"/>
          <w:sz w:val="28"/>
          <w:szCs w:val="28"/>
          <w:lang w:val="en-US" w:eastAsia="zh-CN"/>
        </w:rPr>
        <w:t>模拟弹、击发装置、直流电源、火工品</w:t>
      </w:r>
      <w:r>
        <w:rPr>
          <w:rFonts w:hint="eastAsia" w:ascii="仿宋_GB2312" w:hAnsi="仿宋_GB2312" w:eastAsia="仿宋_GB2312" w:cs="仿宋_GB2312"/>
          <w:sz w:val="28"/>
          <w:szCs w:val="28"/>
          <w:lang w:val="en-US" w:eastAsia="zh-CN"/>
        </w:rPr>
        <w:t>等组成。</w:t>
      </w:r>
    </w:p>
    <w:p>
      <w:pPr>
        <w:pStyle w:val="2"/>
        <w:ind w:left="0" w:leftChars="0" w:firstLine="0" w:firstLineChars="0"/>
        <w:jc w:val="center"/>
        <w:rPr>
          <w:rFonts w:hint="default"/>
          <w:lang w:val="en-US" w:eastAsia="zh-CN"/>
        </w:rPr>
      </w:pPr>
      <w:r>
        <w:rPr>
          <w:rFonts w:ascii="Calibri" w:hAnsi="Calibri" w:cs="Calibri"/>
        </w:rPr>
        <w:object>
          <v:shape id="_x0000_i1025" o:spt="75" type="#_x0000_t75" style="height:205.6pt;width:198.9pt;" o:ole="t" filled="f" o:preferrelative="t" stroked="f" coordsize="21600,21600">
            <v:path/>
            <v:fill on="f" focussize="0,0"/>
            <v:stroke on="f"/>
            <v:imagedata r:id="rId9" o:title=""/>
            <o:lock v:ext="edit" aspectratio="t"/>
            <w10:wrap type="none"/>
            <w10:anchorlock/>
          </v:shape>
          <o:OLEObject Type="Embed" ProgID="Visio.Drawing.11" ShapeID="_x0000_i1025" DrawAspect="Content" ObjectID="_1468075725" r:id="rId8">
            <o:LockedField>false</o:LockedField>
          </o:OLEObject>
        </w:object>
      </w:r>
    </w:p>
    <w:p>
      <w:pPr>
        <w:pStyle w:val="35"/>
        <w:bidi w:val="0"/>
      </w:pPr>
      <w:bookmarkStart w:id="0" w:name="_Toc19102411"/>
      <w:bookmarkStart w:id="1" w:name="_Toc22379507"/>
      <w:r>
        <w:rPr>
          <w:rFonts w:hint="eastAsia"/>
          <w:lang w:val="en-US" w:eastAsia="zh-CN"/>
        </w:rPr>
        <w:t>120mm反坦克火箭模拟终端功能</w:t>
      </w:r>
    </w:p>
    <w:p>
      <w:pPr>
        <w:pStyle w:val="37"/>
        <w:bidi w:val="0"/>
      </w:pPr>
      <w:r>
        <w:t>火力效能模拟</w:t>
      </w:r>
      <w:bookmarkEnd w:id="0"/>
      <w:bookmarkEnd w:id="1"/>
    </w:p>
    <w:p>
      <w:pPr>
        <w:pStyle w:val="40"/>
        <w:numPr>
          <w:ilvl w:val="0"/>
          <w:numId w:val="9"/>
        </w:numPr>
        <w:bidi w:val="0"/>
      </w:pPr>
      <w:bookmarkStart w:id="2" w:name="_Toc22379508"/>
      <w:bookmarkStart w:id="3" w:name="_Toc19102412"/>
      <w:r>
        <w:t>能模拟不同弹药对战场目标的火力打击效能；</w:t>
      </w:r>
    </w:p>
    <w:p>
      <w:pPr>
        <w:pStyle w:val="40"/>
        <w:numPr>
          <w:ilvl w:val="0"/>
          <w:numId w:val="9"/>
        </w:numPr>
        <w:bidi w:val="0"/>
      </w:pPr>
      <w:r>
        <w:t>激光最大作用距离</w:t>
      </w:r>
      <w:r>
        <w:rPr>
          <w:rFonts w:hint="eastAsia"/>
          <w:lang w:eastAsia="zh-CN"/>
        </w:rPr>
        <w:t>：</w:t>
      </w:r>
      <w:r>
        <w:rPr>
          <w:rFonts w:hint="eastAsia"/>
          <w:lang w:val="en-US" w:eastAsia="zh-CN"/>
        </w:rPr>
        <w:t>1500m</w:t>
      </w:r>
      <w:r>
        <w:t>；</w:t>
      </w:r>
    </w:p>
    <w:p>
      <w:pPr>
        <w:pStyle w:val="40"/>
        <w:numPr>
          <w:ilvl w:val="0"/>
          <w:numId w:val="9"/>
        </w:numPr>
        <w:bidi w:val="0"/>
      </w:pPr>
      <w:r>
        <w:t>激光光斑命中目标有效部位均能有效识别，在有效射程处光斑尺寸</w:t>
      </w:r>
      <w:r>
        <w:rPr>
          <w:rFonts w:hint="eastAsia"/>
          <w:lang w:eastAsia="zh-CN"/>
        </w:rPr>
        <w:t>：</w:t>
      </w:r>
      <w:r>
        <w:t>60cm；</w:t>
      </w:r>
    </w:p>
    <w:p>
      <w:pPr>
        <w:pStyle w:val="40"/>
        <w:numPr>
          <w:ilvl w:val="0"/>
          <w:numId w:val="9"/>
        </w:numPr>
        <w:bidi w:val="0"/>
      </w:pPr>
      <w:r>
        <w:t>能将武器弹药类型和发射位置等参数发送至目标，以辅助目标解算弹丸飞行时间。</w:t>
      </w:r>
    </w:p>
    <w:p>
      <w:pPr>
        <w:pStyle w:val="37"/>
        <w:bidi w:val="0"/>
      </w:pPr>
      <w:r>
        <w:t>发射控制</w:t>
      </w:r>
      <w:bookmarkEnd w:id="2"/>
      <w:bookmarkEnd w:id="3"/>
    </w:p>
    <w:p>
      <w:pPr>
        <w:pStyle w:val="40"/>
        <w:numPr>
          <w:ilvl w:val="0"/>
          <w:numId w:val="10"/>
        </w:numPr>
        <w:bidi w:val="0"/>
      </w:pPr>
      <w:bookmarkStart w:id="4" w:name="_Toc19102413"/>
      <w:bookmarkStart w:id="5" w:name="_Toc22379509"/>
      <w:r>
        <w:t>能根据当前弹量自动锁定或解锁发射机发射功能，当弹量为0时，锁定发射机发射功能；当弹量不为0时，解锁发射机发射功能；</w:t>
      </w:r>
    </w:p>
    <w:p>
      <w:pPr>
        <w:pStyle w:val="40"/>
        <w:numPr>
          <w:ilvl w:val="0"/>
          <w:numId w:val="10"/>
        </w:numPr>
        <w:bidi w:val="0"/>
      </w:pPr>
      <w:r>
        <w:t>采用模拟弹方式模拟弹药装填过程，未成功装填时，自动锁定发射功能；</w:t>
      </w:r>
    </w:p>
    <w:p>
      <w:pPr>
        <w:pStyle w:val="40"/>
        <w:numPr>
          <w:ilvl w:val="0"/>
          <w:numId w:val="10"/>
        </w:numPr>
        <w:bidi w:val="0"/>
      </w:pPr>
      <w:r>
        <w:t>具备被损毁后自动锁定发射机发射功能。</w:t>
      </w:r>
    </w:p>
    <w:p>
      <w:pPr>
        <w:pStyle w:val="37"/>
        <w:bidi w:val="0"/>
      </w:pPr>
      <w:r>
        <w:t>发射指示</w:t>
      </w:r>
      <w:bookmarkEnd w:id="4"/>
      <w:bookmarkEnd w:id="5"/>
    </w:p>
    <w:p>
      <w:pPr>
        <w:pStyle w:val="40"/>
        <w:numPr>
          <w:ilvl w:val="0"/>
          <w:numId w:val="11"/>
        </w:numPr>
        <w:bidi w:val="0"/>
      </w:pPr>
      <w:bookmarkStart w:id="6" w:name="_Toc22379510"/>
      <w:bookmarkStart w:id="7" w:name="_Toc19102414"/>
      <w:r>
        <w:t>能通过声音和指示灯显示有效发射状态；</w:t>
      </w:r>
    </w:p>
    <w:p>
      <w:pPr>
        <w:pStyle w:val="40"/>
        <w:numPr>
          <w:ilvl w:val="0"/>
          <w:numId w:val="11"/>
        </w:numPr>
        <w:bidi w:val="0"/>
      </w:pPr>
      <w:r>
        <w:t>能够通过双向声光弹模拟武器发射时暴露征候。</w:t>
      </w:r>
    </w:p>
    <w:p>
      <w:pPr>
        <w:pStyle w:val="37"/>
        <w:bidi w:val="0"/>
        <w:rPr>
          <w:rFonts w:hint="eastAsia"/>
          <w:lang w:val="en-US" w:eastAsia="zh-CN"/>
        </w:rPr>
      </w:pPr>
      <w:r>
        <w:rPr>
          <w:rFonts w:hint="eastAsia"/>
          <w:lang w:val="en-US" w:eastAsia="zh-CN"/>
        </w:rPr>
        <w:t>毁伤模拟</w:t>
      </w:r>
    </w:p>
    <w:p>
      <w:pPr>
        <w:pStyle w:val="40"/>
        <w:numPr>
          <w:ilvl w:val="0"/>
          <w:numId w:val="12"/>
        </w:numPr>
        <w:bidi w:val="0"/>
      </w:pPr>
      <w:r>
        <w:t>能模拟装备被各类直瞄、间瞄和地爆等有效武器打击后的破坏效果；</w:t>
      </w:r>
    </w:p>
    <w:p>
      <w:pPr>
        <w:pStyle w:val="40"/>
        <w:numPr>
          <w:ilvl w:val="0"/>
          <w:numId w:val="12"/>
        </w:numPr>
        <w:bidi w:val="0"/>
      </w:pPr>
      <w:r>
        <w:t>具备水平360°，垂直±</w:t>
      </w:r>
      <w:r>
        <w:rPr>
          <w:rFonts w:hint="eastAsia"/>
          <w:lang w:val="en-US" w:eastAsia="zh-CN"/>
        </w:rPr>
        <w:t>45</w:t>
      </w:r>
      <w:r>
        <w:t>°的激光接收能力；</w:t>
      </w:r>
    </w:p>
    <w:p>
      <w:pPr>
        <w:pStyle w:val="40"/>
        <w:numPr>
          <w:ilvl w:val="0"/>
          <w:numId w:val="12"/>
        </w:numPr>
        <w:bidi w:val="0"/>
      </w:pPr>
      <w:r>
        <w:t>激光接收器在接收到有效数据4字节的数据帧时，解码时间</w:t>
      </w:r>
      <w:r>
        <w:rPr>
          <w:rFonts w:hint="eastAsia"/>
          <w:lang w:eastAsia="zh-CN"/>
        </w:rPr>
        <w:t>：</w:t>
      </w:r>
      <w:r>
        <w:t>10ms；</w:t>
      </w:r>
    </w:p>
    <w:p>
      <w:pPr>
        <w:pStyle w:val="40"/>
        <w:numPr>
          <w:ilvl w:val="0"/>
          <w:numId w:val="12"/>
        </w:numPr>
        <w:bidi w:val="0"/>
      </w:pPr>
      <w:r>
        <w:t>在频率1KHz，脉宽2us的噪声干扰背景下，产品激光接收解码成功率</w:t>
      </w:r>
      <w:r>
        <w:rPr>
          <w:rFonts w:hint="eastAsia"/>
          <w:lang w:eastAsia="zh-CN"/>
        </w:rPr>
        <w:t>：</w:t>
      </w:r>
      <w:r>
        <w:t>99%；</w:t>
      </w:r>
    </w:p>
    <w:p>
      <w:pPr>
        <w:pStyle w:val="40"/>
        <w:numPr>
          <w:ilvl w:val="0"/>
          <w:numId w:val="12"/>
        </w:numPr>
        <w:bidi w:val="0"/>
        <w:rPr>
          <w:rFonts w:hint="default"/>
          <w:lang w:val="en-US" w:eastAsia="zh-CN"/>
        </w:rPr>
      </w:pPr>
      <w:r>
        <w:rPr>
          <w:rFonts w:hint="eastAsia"/>
          <w:lang w:val="en-US" w:eastAsia="zh-CN"/>
        </w:rPr>
        <w:t>设备</w:t>
      </w:r>
      <w:r>
        <w:t>提供软件升级外部接口，</w:t>
      </w:r>
      <w:r>
        <w:rPr>
          <w:rFonts w:hint="eastAsia"/>
          <w:lang w:val="en-US" w:eastAsia="zh-CN"/>
        </w:rPr>
        <w:t>可</w:t>
      </w:r>
      <w:r>
        <w:t>满足毁伤模型快速更新要求。</w:t>
      </w:r>
    </w:p>
    <w:p>
      <w:pPr>
        <w:pStyle w:val="37"/>
        <w:bidi w:val="0"/>
      </w:pPr>
      <w:bookmarkStart w:id="8" w:name="_Toc20344094"/>
      <w:bookmarkStart w:id="9" w:name="_Toc20382120"/>
      <w:bookmarkStart w:id="10" w:name="_Toc20238435"/>
      <w:bookmarkStart w:id="11" w:name="_Toc22376384"/>
      <w:r>
        <w:t>命中提示</w:t>
      </w:r>
      <w:bookmarkEnd w:id="8"/>
      <w:bookmarkEnd w:id="9"/>
      <w:bookmarkEnd w:id="10"/>
      <w:bookmarkEnd w:id="11"/>
    </w:p>
    <w:p>
      <w:pPr>
        <w:pStyle w:val="46"/>
        <w:bidi w:val="0"/>
        <w:rPr>
          <w:rFonts w:hint="default"/>
          <w:lang w:val="en-US" w:eastAsia="zh-CN"/>
        </w:rPr>
      </w:pPr>
      <w:r>
        <w:t>能够通过声音、灯光和烟雾（黑色）等多种方式显示</w:t>
      </w:r>
      <w:r>
        <w:rPr>
          <w:rFonts w:hint="eastAsia"/>
        </w:rPr>
        <w:t>装备</w:t>
      </w:r>
      <w:r>
        <w:t>被命中后的战场效果。</w:t>
      </w:r>
    </w:p>
    <w:bookmarkEnd w:id="6"/>
    <w:bookmarkEnd w:id="7"/>
    <w:p>
      <w:pPr>
        <w:pStyle w:val="37"/>
        <w:bidi w:val="0"/>
      </w:pPr>
      <w:bookmarkStart w:id="12" w:name="_Toc22376385"/>
      <w:bookmarkStart w:id="13" w:name="_Toc20382121"/>
      <w:bookmarkStart w:id="14" w:name="_Toc20238436"/>
      <w:bookmarkStart w:id="15" w:name="_Toc20344095"/>
      <w:bookmarkStart w:id="16" w:name="_Toc22379524"/>
      <w:bookmarkStart w:id="17" w:name="_Toc19102428"/>
      <w:r>
        <w:t>告警提示</w:t>
      </w:r>
      <w:bookmarkEnd w:id="12"/>
      <w:bookmarkEnd w:id="13"/>
      <w:bookmarkEnd w:id="14"/>
      <w:bookmarkEnd w:id="15"/>
    </w:p>
    <w:p>
      <w:pPr>
        <w:pStyle w:val="46"/>
        <w:bidi w:val="0"/>
      </w:pPr>
      <w:r>
        <w:t>能通过声音、指示灯对供电状态、设备故障、弹药消耗完毕等情况进行告警提示。</w:t>
      </w:r>
    </w:p>
    <w:p>
      <w:pPr>
        <w:pStyle w:val="37"/>
        <w:bidi w:val="0"/>
      </w:pPr>
      <w:bookmarkStart w:id="18" w:name="_Toc20344096"/>
      <w:bookmarkStart w:id="19" w:name="_Toc20382122"/>
      <w:bookmarkStart w:id="20" w:name="_Toc22376386"/>
      <w:bookmarkStart w:id="21" w:name="_Toc20238437"/>
      <w:r>
        <w:t>状态显示</w:t>
      </w:r>
      <w:bookmarkEnd w:id="18"/>
      <w:bookmarkEnd w:id="19"/>
      <w:bookmarkEnd w:id="20"/>
      <w:bookmarkEnd w:id="21"/>
    </w:p>
    <w:p>
      <w:pPr>
        <w:pStyle w:val="46"/>
        <w:bidi w:val="0"/>
      </w:pPr>
      <w:r>
        <w:t>能对自身状态信息进行实时显示，显示内容包括以下信息：</w:t>
      </w:r>
    </w:p>
    <w:p>
      <w:pPr>
        <w:pStyle w:val="40"/>
        <w:numPr>
          <w:ilvl w:val="0"/>
          <w:numId w:val="13"/>
        </w:numPr>
        <w:bidi w:val="0"/>
      </w:pPr>
      <w:r>
        <w:t>当前弹药类型及剩余弹量；</w:t>
      </w:r>
    </w:p>
    <w:p>
      <w:pPr>
        <w:pStyle w:val="40"/>
        <w:numPr>
          <w:ilvl w:val="0"/>
          <w:numId w:val="13"/>
        </w:numPr>
        <w:bidi w:val="0"/>
      </w:pPr>
      <w:r>
        <w:t>当前与基站通信状态；</w:t>
      </w:r>
    </w:p>
    <w:p>
      <w:pPr>
        <w:pStyle w:val="40"/>
        <w:numPr>
          <w:ilvl w:val="0"/>
          <w:numId w:val="13"/>
        </w:numPr>
        <w:bidi w:val="0"/>
      </w:pPr>
      <w:r>
        <w:t>当前定位状态；</w:t>
      </w:r>
    </w:p>
    <w:p>
      <w:pPr>
        <w:pStyle w:val="40"/>
        <w:numPr>
          <w:ilvl w:val="0"/>
          <w:numId w:val="13"/>
        </w:numPr>
        <w:bidi w:val="0"/>
      </w:pPr>
      <w:r>
        <w:t>欠电状态。</w:t>
      </w:r>
    </w:p>
    <w:p>
      <w:pPr>
        <w:pStyle w:val="37"/>
        <w:bidi w:val="0"/>
      </w:pPr>
      <w:bookmarkStart w:id="22" w:name="_Toc20238438"/>
      <w:bookmarkStart w:id="23" w:name="_Toc20382123"/>
      <w:bookmarkStart w:id="24" w:name="_Toc20344097"/>
      <w:bookmarkStart w:id="25" w:name="_Toc22376387"/>
      <w:r>
        <w:t>昼夜模式切换</w:t>
      </w:r>
      <w:bookmarkEnd w:id="22"/>
      <w:bookmarkEnd w:id="23"/>
      <w:bookmarkEnd w:id="24"/>
      <w:bookmarkEnd w:id="25"/>
    </w:p>
    <w:p>
      <w:pPr>
        <w:pStyle w:val="40"/>
        <w:numPr>
          <w:ilvl w:val="0"/>
          <w:numId w:val="14"/>
        </w:numPr>
        <w:bidi w:val="0"/>
      </w:pPr>
      <w:r>
        <w:t>能响应远程或现地模式切换指令，自动完成昼夜模式切换；</w:t>
      </w:r>
    </w:p>
    <w:p>
      <w:pPr>
        <w:pStyle w:val="40"/>
        <w:numPr>
          <w:ilvl w:val="0"/>
          <w:numId w:val="14"/>
        </w:numPr>
        <w:bidi w:val="0"/>
      </w:pPr>
      <w:r>
        <w:t>进入夜间模式时，自动调低相关状态指示灯亮度。</w:t>
      </w:r>
    </w:p>
    <w:p>
      <w:pPr>
        <w:pStyle w:val="37"/>
        <w:bidi w:val="0"/>
      </w:pPr>
      <w:bookmarkStart w:id="26" w:name="_Toc22376388"/>
      <w:bookmarkStart w:id="27" w:name="_Toc20382124"/>
      <w:bookmarkStart w:id="28" w:name="_Toc20238439"/>
      <w:bookmarkStart w:id="29" w:name="_Toc20344098"/>
      <w:r>
        <w:rPr>
          <w:rFonts w:hint="eastAsia"/>
        </w:rPr>
        <w:t>工作状态类型</w:t>
      </w:r>
      <w:bookmarkEnd w:id="26"/>
      <w:bookmarkEnd w:id="27"/>
    </w:p>
    <w:p>
      <w:pPr>
        <w:pStyle w:val="46"/>
        <w:bidi w:val="0"/>
      </w:pPr>
      <w:r>
        <w:rPr>
          <w:rFonts w:hint="eastAsia"/>
        </w:rPr>
        <w:t>产品包含训练状态与演习状态。</w:t>
      </w:r>
    </w:p>
    <w:p>
      <w:pPr>
        <w:pStyle w:val="37"/>
        <w:bidi w:val="0"/>
      </w:pPr>
      <w:bookmarkStart w:id="30" w:name="_Toc22376389"/>
      <w:bookmarkStart w:id="31" w:name="_Toc20382125"/>
      <w:r>
        <w:t>远程控制响应</w:t>
      </w:r>
      <w:bookmarkEnd w:id="28"/>
      <w:bookmarkEnd w:id="29"/>
      <w:bookmarkEnd w:id="30"/>
      <w:bookmarkEnd w:id="31"/>
    </w:p>
    <w:p>
      <w:pPr>
        <w:pStyle w:val="40"/>
        <w:numPr>
          <w:ilvl w:val="0"/>
          <w:numId w:val="15"/>
        </w:numPr>
        <w:bidi w:val="0"/>
      </w:pPr>
      <w:r>
        <w:t>能够接收主控软件在演习前下发的演习参数预置指令，完成密钥等参数预置和</w:t>
      </w:r>
      <w:r>
        <w:rPr>
          <w:rFonts w:hint="eastAsia"/>
        </w:rPr>
        <w:t>工作状态（训练状态与演习状态）</w:t>
      </w:r>
      <w:r>
        <w:t>自动切换；</w:t>
      </w:r>
    </w:p>
    <w:p>
      <w:pPr>
        <w:pStyle w:val="40"/>
        <w:numPr>
          <w:ilvl w:val="0"/>
          <w:numId w:val="15"/>
        </w:numPr>
        <w:bidi w:val="0"/>
      </w:pPr>
      <w:r>
        <w:t>能够接收主控软件下发的导控裁决无线指令，实现远程</w:t>
      </w:r>
      <w:r>
        <w:rPr>
          <w:rFonts w:hint="eastAsia"/>
        </w:rPr>
        <w:t>裁决</w:t>
      </w:r>
      <w:r>
        <w:t>操作；</w:t>
      </w:r>
    </w:p>
    <w:p>
      <w:pPr>
        <w:pStyle w:val="40"/>
        <w:numPr>
          <w:ilvl w:val="0"/>
          <w:numId w:val="15"/>
        </w:numPr>
        <w:bidi w:val="0"/>
      </w:pPr>
      <w:r>
        <w:t>能够接收主控软件下发的演习密钥设置无线指令，实现远程加载终端密钥；</w:t>
      </w:r>
    </w:p>
    <w:p>
      <w:pPr>
        <w:pStyle w:val="40"/>
        <w:numPr>
          <w:ilvl w:val="0"/>
          <w:numId w:val="15"/>
        </w:numPr>
        <w:bidi w:val="0"/>
      </w:pPr>
      <w:r>
        <w:t>能够接收主控软件下发的昼夜工作模式切换无线指令，实现昼夜模式自动切换。</w:t>
      </w:r>
    </w:p>
    <w:p>
      <w:pPr>
        <w:pStyle w:val="37"/>
        <w:bidi w:val="0"/>
      </w:pPr>
      <w:bookmarkStart w:id="32" w:name="_Toc20382126"/>
      <w:bookmarkStart w:id="33" w:name="_Toc20344099"/>
      <w:bookmarkStart w:id="34" w:name="_Toc20238440"/>
      <w:bookmarkStart w:id="35" w:name="_Toc22376390"/>
      <w:r>
        <w:t>现地调理响应</w:t>
      </w:r>
      <w:bookmarkEnd w:id="32"/>
      <w:bookmarkEnd w:id="33"/>
      <w:bookmarkEnd w:id="34"/>
      <w:bookmarkEnd w:id="35"/>
    </w:p>
    <w:p>
      <w:pPr>
        <w:pStyle w:val="40"/>
        <w:numPr>
          <w:ilvl w:val="0"/>
          <w:numId w:val="16"/>
        </w:numPr>
        <w:bidi w:val="0"/>
      </w:pPr>
      <w:r>
        <w:t>能够接收装弹采集器在演习前发送的演习参数预置指令，完成密钥等参数预置和</w:t>
      </w:r>
      <w:r>
        <w:rPr>
          <w:rFonts w:hint="eastAsia"/>
        </w:rPr>
        <w:t>工作状态（训练状态与演习状态）</w:t>
      </w:r>
      <w:r>
        <w:t>自动切换；</w:t>
      </w:r>
    </w:p>
    <w:p>
      <w:pPr>
        <w:pStyle w:val="40"/>
        <w:numPr>
          <w:ilvl w:val="0"/>
          <w:numId w:val="16"/>
        </w:numPr>
        <w:bidi w:val="0"/>
      </w:pPr>
      <w:r>
        <w:t>能够在演习过程中实时接收弹药输送车模拟终端的弹药参数设置指令，实现弹药的补给；</w:t>
      </w:r>
    </w:p>
    <w:p>
      <w:pPr>
        <w:pStyle w:val="40"/>
        <w:numPr>
          <w:ilvl w:val="0"/>
          <w:numId w:val="16"/>
        </w:numPr>
        <w:bidi w:val="0"/>
      </w:pPr>
      <w:r>
        <w:t>能够接收调理枪的导控裁决指令，实现现地</w:t>
      </w:r>
      <w:r>
        <w:rPr>
          <w:rFonts w:hint="eastAsia"/>
        </w:rPr>
        <w:t>裁决</w:t>
      </w:r>
      <w:r>
        <w:t>等操作；</w:t>
      </w:r>
    </w:p>
    <w:p>
      <w:pPr>
        <w:pStyle w:val="40"/>
        <w:numPr>
          <w:ilvl w:val="0"/>
          <w:numId w:val="16"/>
        </w:numPr>
        <w:bidi w:val="0"/>
      </w:pPr>
      <w:r>
        <w:t>能够接收调理枪的模式切换指令，实现昼夜模式的现地切换。</w:t>
      </w:r>
    </w:p>
    <w:p>
      <w:pPr>
        <w:pStyle w:val="37"/>
        <w:bidi w:val="0"/>
      </w:pPr>
      <w:bookmarkStart w:id="36" w:name="_Toc20238441"/>
      <w:bookmarkStart w:id="37" w:name="_Toc20344100"/>
      <w:bookmarkStart w:id="38" w:name="_Toc20382127"/>
      <w:bookmarkStart w:id="39" w:name="_Toc22376391"/>
      <w:r>
        <w:t>演训信息采集上传</w:t>
      </w:r>
      <w:bookmarkEnd w:id="36"/>
      <w:bookmarkEnd w:id="37"/>
      <w:bookmarkEnd w:id="38"/>
      <w:bookmarkEnd w:id="39"/>
    </w:p>
    <w:p>
      <w:pPr>
        <w:pStyle w:val="40"/>
        <w:numPr>
          <w:ilvl w:val="0"/>
          <w:numId w:val="17"/>
        </w:numPr>
        <w:bidi w:val="0"/>
      </w:pPr>
      <w:r>
        <w:t>能按预设的时间间隔定时上传状态信息，包括身份信息、武器类型、弹药类型、弹药数量、位置信息等，</w:t>
      </w:r>
      <w:r>
        <w:rPr>
          <w:rFonts w:hint="eastAsia"/>
          <w:lang w:val="en-US" w:eastAsia="zh-CN"/>
        </w:rPr>
        <w:t>定位模块采用北斗/GPS双模定位</w:t>
      </w:r>
      <w:r>
        <w:t>，</w:t>
      </w:r>
      <w:r>
        <w:rPr>
          <w:rFonts w:hint="eastAsia"/>
          <w:lang w:eastAsia="zh-CN"/>
        </w:rPr>
        <w:t>定位精度</w:t>
      </w:r>
      <w:r>
        <w:rPr>
          <w:rFonts w:hint="eastAsia"/>
          <w:lang w:val="en-US" w:eastAsia="zh-CN"/>
        </w:rPr>
        <w:t>5</w:t>
      </w:r>
      <w:r>
        <w:rPr>
          <w:rFonts w:hint="eastAsia"/>
          <w:lang w:eastAsia="zh-CN"/>
        </w:rPr>
        <w:t>m</w:t>
      </w:r>
      <w:r>
        <w:t>（RMS）；</w:t>
      </w:r>
    </w:p>
    <w:p>
      <w:pPr>
        <w:pStyle w:val="40"/>
        <w:numPr>
          <w:ilvl w:val="0"/>
          <w:numId w:val="17"/>
        </w:numPr>
        <w:bidi w:val="0"/>
      </w:pPr>
      <w:r>
        <w:rPr>
          <w:rFonts w:hint="eastAsia"/>
        </w:rPr>
        <w:t>上传状态信息最长时间间隔为15s；</w:t>
      </w:r>
    </w:p>
    <w:p>
      <w:pPr>
        <w:pStyle w:val="40"/>
        <w:numPr>
          <w:ilvl w:val="0"/>
          <w:numId w:val="17"/>
        </w:numPr>
        <w:bidi w:val="0"/>
      </w:pPr>
      <w:r>
        <w:t>能自动检测并实时上传各类训练事件信息，事件类型包括发射事件（含射击时间、地点、武器类型、弹药类型）、被打击事件（含直瞄打击、间瞄打击、二次打击、爆炸类武器打击等）、弹药补充事件、裁决事件（含远程裁决事件及现地裁决事件）、违规事件（含火工品未安装、非法移动、非法关机等）等；其中，被打击事件上传的信息包括攻击方身份、攻击武器及弹药类型、攻击时间、攻击位置以及打击结果、命中时间和所在位置等。</w:t>
      </w:r>
    </w:p>
    <w:p>
      <w:pPr>
        <w:pStyle w:val="37"/>
        <w:bidi w:val="0"/>
      </w:pPr>
      <w:bookmarkStart w:id="40" w:name="_Toc20382128"/>
      <w:bookmarkStart w:id="41" w:name="_Toc20238442"/>
      <w:bookmarkStart w:id="42" w:name="_Toc20344101"/>
      <w:bookmarkStart w:id="43" w:name="_Toc22376392"/>
      <w:r>
        <w:t>工况信息采集上传</w:t>
      </w:r>
      <w:bookmarkEnd w:id="40"/>
      <w:bookmarkEnd w:id="41"/>
      <w:bookmarkEnd w:id="42"/>
      <w:bookmarkEnd w:id="43"/>
    </w:p>
    <w:p>
      <w:pPr>
        <w:pStyle w:val="46"/>
        <w:bidi w:val="0"/>
      </w:pPr>
      <w:r>
        <w:t>能自动检测故障状态(包括通信模块失效、定位模块失效、探头失效等)、欠电状态、部件连接状态等信息，并完成自动上传。</w:t>
      </w:r>
    </w:p>
    <w:p>
      <w:pPr>
        <w:pStyle w:val="37"/>
        <w:bidi w:val="0"/>
      </w:pPr>
      <w:bookmarkStart w:id="44" w:name="_Toc22376393"/>
      <w:bookmarkStart w:id="45" w:name="_Toc20344102"/>
      <w:bookmarkStart w:id="46" w:name="_Toc20382129"/>
      <w:bookmarkStart w:id="47" w:name="_Toc20238443"/>
      <w:r>
        <w:rPr>
          <w:rFonts w:hint="eastAsia"/>
        </w:rPr>
        <w:t>信息</w:t>
      </w:r>
      <w:r>
        <w:t>交互</w:t>
      </w:r>
      <w:bookmarkEnd w:id="44"/>
      <w:bookmarkEnd w:id="45"/>
      <w:bookmarkEnd w:id="46"/>
    </w:p>
    <w:p>
      <w:pPr>
        <w:pStyle w:val="40"/>
        <w:numPr>
          <w:ilvl w:val="0"/>
          <w:numId w:val="18"/>
        </w:numPr>
        <w:bidi w:val="0"/>
      </w:pPr>
      <w:r>
        <w:rPr>
          <w:rFonts w:hint="eastAsia"/>
        </w:rPr>
        <w:t>能与单兵装具匹配使用，实时响应单兵装具的无线连接指令，且仅在匹配成功后才能进行发射操作；</w:t>
      </w:r>
    </w:p>
    <w:p>
      <w:pPr>
        <w:pStyle w:val="40"/>
        <w:numPr>
          <w:ilvl w:val="0"/>
          <w:numId w:val="18"/>
        </w:numPr>
        <w:bidi w:val="0"/>
      </w:pPr>
      <w:r>
        <w:rPr>
          <w:rFonts w:hint="eastAsia"/>
        </w:rPr>
        <w:t>能与单兵装具建立无线连接，最大无线通信距离位于</w:t>
      </w:r>
      <w:r>
        <w:t>1</w:t>
      </w:r>
      <w:r>
        <w:rPr>
          <w:rFonts w:hint="eastAsia"/>
        </w:rPr>
        <w:t>～</w:t>
      </w:r>
      <w:r>
        <w:t>5m</w:t>
      </w:r>
      <w:r>
        <w:rPr>
          <w:rFonts w:hint="eastAsia"/>
        </w:rPr>
        <w:t>之间。</w:t>
      </w:r>
    </w:p>
    <w:p>
      <w:pPr>
        <w:pStyle w:val="37"/>
        <w:bidi w:val="0"/>
      </w:pPr>
      <w:bookmarkStart w:id="48" w:name="_Toc20344103"/>
      <w:bookmarkStart w:id="49" w:name="_Toc20382130"/>
      <w:bookmarkStart w:id="50" w:name="_Toc22376394"/>
      <w:r>
        <w:t>违规处置</w:t>
      </w:r>
      <w:bookmarkEnd w:id="47"/>
      <w:bookmarkEnd w:id="48"/>
      <w:bookmarkEnd w:id="49"/>
      <w:bookmarkEnd w:id="50"/>
    </w:p>
    <w:p>
      <w:pPr>
        <w:pStyle w:val="40"/>
        <w:numPr>
          <w:ilvl w:val="0"/>
          <w:numId w:val="19"/>
        </w:numPr>
        <w:bidi w:val="0"/>
      </w:pPr>
      <w:r>
        <w:t>能自动检测火工品安装情况，当未按要求安装火工品时，自动锁定发射机激光发射功能；</w:t>
      </w:r>
    </w:p>
    <w:p>
      <w:pPr>
        <w:pStyle w:val="40"/>
        <w:numPr>
          <w:ilvl w:val="0"/>
          <w:numId w:val="19"/>
        </w:numPr>
        <w:bidi w:val="0"/>
      </w:pPr>
      <w:r>
        <w:t>能自动检测当前伤亡后移动情况，当出现毁伤后的非法移动时，自动上报违规信息；</w:t>
      </w:r>
    </w:p>
    <w:p>
      <w:pPr>
        <w:pStyle w:val="40"/>
        <w:numPr>
          <w:ilvl w:val="0"/>
          <w:numId w:val="19"/>
        </w:numPr>
        <w:bidi w:val="0"/>
      </w:pPr>
      <w:r>
        <w:t>能自动检测开关机信号，当出现在演习模式且在未</w:t>
      </w:r>
      <w:r>
        <w:rPr>
          <w:rFonts w:hint="eastAsia"/>
        </w:rPr>
        <w:t>欠电</w:t>
      </w:r>
      <w:r>
        <w:t>状态的关机重启时，自动判定为击毁状态。</w:t>
      </w:r>
    </w:p>
    <w:p>
      <w:pPr>
        <w:pStyle w:val="37"/>
        <w:bidi w:val="0"/>
      </w:pPr>
      <w:bookmarkStart w:id="51" w:name="_Toc20382131"/>
      <w:bookmarkStart w:id="52" w:name="_Toc20344104"/>
      <w:bookmarkStart w:id="53" w:name="_Toc20238444"/>
      <w:bookmarkStart w:id="54" w:name="_Toc22376395"/>
      <w:r>
        <w:t>重量</w:t>
      </w:r>
      <w:bookmarkEnd w:id="51"/>
      <w:bookmarkEnd w:id="52"/>
      <w:bookmarkEnd w:id="53"/>
      <w:bookmarkEnd w:id="54"/>
    </w:p>
    <w:p>
      <w:pPr>
        <w:pStyle w:val="40"/>
        <w:numPr>
          <w:ilvl w:val="0"/>
          <w:numId w:val="20"/>
        </w:numPr>
        <w:bidi w:val="0"/>
      </w:pPr>
      <w:r>
        <w:t>控制主机：3kg（单组电池）；</w:t>
      </w:r>
    </w:p>
    <w:p>
      <w:pPr>
        <w:pStyle w:val="40"/>
        <w:numPr>
          <w:ilvl w:val="0"/>
          <w:numId w:val="20"/>
        </w:numPr>
        <w:bidi w:val="0"/>
      </w:pPr>
      <w:r>
        <w:t>模拟弹：8kg。</w:t>
      </w:r>
    </w:p>
    <w:p>
      <w:pPr>
        <w:pStyle w:val="37"/>
        <w:bidi w:val="0"/>
      </w:pPr>
      <w:bookmarkStart w:id="55" w:name="_Toc20238445"/>
      <w:bookmarkStart w:id="56" w:name="_Toc22376396"/>
      <w:bookmarkStart w:id="57" w:name="_Toc20344105"/>
      <w:bookmarkStart w:id="58" w:name="_Toc20382132"/>
      <w:r>
        <w:t>辅助管理</w:t>
      </w:r>
      <w:bookmarkEnd w:id="55"/>
      <w:bookmarkEnd w:id="56"/>
      <w:bookmarkEnd w:id="57"/>
      <w:bookmarkEnd w:id="58"/>
    </w:p>
    <w:p>
      <w:pPr>
        <w:pStyle w:val="40"/>
        <w:numPr>
          <w:ilvl w:val="0"/>
          <w:numId w:val="21"/>
        </w:numPr>
        <w:bidi w:val="0"/>
      </w:pPr>
      <w:r>
        <w:t>产品配置用于器材管理的无源RFID电子标签，标签内预置产品名称、产品编号、生产单位代字、所属单位代字等基本信息，标签类型和工作频率等参数与配套的器材信息化管理系统读写设备相一致；</w:t>
      </w:r>
    </w:p>
    <w:p>
      <w:pPr>
        <w:pStyle w:val="40"/>
        <w:numPr>
          <w:ilvl w:val="0"/>
          <w:numId w:val="21"/>
        </w:numPr>
        <w:bidi w:val="0"/>
      </w:pPr>
      <w:r>
        <w:t>产品在包装状态下通过配套的器材信息化管理系统出入库时，系统能读取RFID储存的相关信息。</w:t>
      </w:r>
    </w:p>
    <w:p>
      <w:pPr>
        <w:pStyle w:val="37"/>
        <w:bidi w:val="0"/>
      </w:pPr>
      <w:bookmarkStart w:id="59" w:name="_Toc22376397"/>
      <w:bookmarkStart w:id="60" w:name="_Toc20382133"/>
      <w:bookmarkStart w:id="61" w:name="_Toc8723463"/>
      <w:bookmarkStart w:id="62" w:name="_Toc20344106"/>
      <w:bookmarkStart w:id="63" w:name="_Toc20238446"/>
      <w:r>
        <w:t>接口</w:t>
      </w:r>
      <w:bookmarkEnd w:id="59"/>
      <w:bookmarkEnd w:id="60"/>
      <w:bookmarkEnd w:id="61"/>
      <w:bookmarkEnd w:id="62"/>
      <w:bookmarkEnd w:id="63"/>
    </w:p>
    <w:p>
      <w:pPr>
        <w:pStyle w:val="37"/>
        <w:bidi w:val="0"/>
      </w:pPr>
      <w:bookmarkStart w:id="64" w:name="_Toc20344107"/>
      <w:bookmarkStart w:id="65" w:name="_Toc20238447"/>
      <w:bookmarkStart w:id="66" w:name="_Toc22376398"/>
      <w:bookmarkStart w:id="67" w:name="_Toc20382134"/>
      <w:r>
        <w:t>激光光学接口</w:t>
      </w:r>
      <w:bookmarkEnd w:id="64"/>
      <w:bookmarkEnd w:id="65"/>
      <w:bookmarkEnd w:id="66"/>
      <w:bookmarkEnd w:id="67"/>
    </w:p>
    <w:p>
      <w:pPr>
        <w:pStyle w:val="46"/>
        <w:bidi w:val="0"/>
        <w:rPr>
          <w:rFonts w:ascii="Calibri" w:hAnsi="Calibri" w:cs="Calibri"/>
        </w:rPr>
      </w:pPr>
      <w:r>
        <w:rPr>
          <w:rFonts w:ascii="Calibri" w:hAnsi="Calibri" w:cs="Calibri"/>
        </w:rPr>
        <w:t>产品发射机和接收探头组的激光光学特性、编解码标准符</w:t>
      </w:r>
      <w:r>
        <w:rPr>
          <w:rFonts w:ascii="Calibri" w:hAnsi="Calibri" w:cs="Calibri" w:eastAsiaTheme="minorEastAsia"/>
          <w:szCs w:val="21"/>
        </w:rPr>
        <w:t>LSJT-JKXY-01</w:t>
      </w:r>
      <w:r>
        <w:rPr>
          <w:rFonts w:ascii="Calibri" w:hAnsi="Calibri" w:cs="Calibri"/>
        </w:rPr>
        <w:t>《陆军实兵交战系统红外激光光学接口规范》的要求。</w:t>
      </w:r>
    </w:p>
    <w:p>
      <w:pPr>
        <w:pStyle w:val="37"/>
        <w:bidi w:val="0"/>
      </w:pPr>
      <w:bookmarkStart w:id="68" w:name="_Toc20238448"/>
      <w:bookmarkStart w:id="69" w:name="_Toc22376399"/>
      <w:bookmarkStart w:id="70" w:name="_Toc20344108"/>
      <w:bookmarkStart w:id="71" w:name="_Toc20382135"/>
      <w:r>
        <w:t>信息交互接口</w:t>
      </w:r>
      <w:bookmarkEnd w:id="68"/>
      <w:bookmarkEnd w:id="69"/>
      <w:bookmarkEnd w:id="70"/>
      <w:bookmarkEnd w:id="71"/>
    </w:p>
    <w:p>
      <w:pPr>
        <w:pStyle w:val="40"/>
        <w:numPr>
          <w:ilvl w:val="0"/>
          <w:numId w:val="22"/>
        </w:numPr>
        <w:bidi w:val="0"/>
      </w:pPr>
      <w:r>
        <w:t>产品与主控软件无线交互接口和协议满足LSJT-JKXY-03《陆军实兵交战系统宽带无线通信接口规范》中相关指令要求；</w:t>
      </w:r>
    </w:p>
    <w:p>
      <w:pPr>
        <w:pStyle w:val="40"/>
        <w:numPr>
          <w:ilvl w:val="0"/>
          <w:numId w:val="22"/>
        </w:numPr>
        <w:bidi w:val="0"/>
      </w:pPr>
      <w:r>
        <w:t>产品与车辆、碉堡、建筑物等模拟器材无线交互接口和协议满足LSJT-JKXY-04《陆军实兵交战系统短距无线通信接口规范》中相关指令要求；</w:t>
      </w:r>
    </w:p>
    <w:p>
      <w:pPr>
        <w:pStyle w:val="40"/>
        <w:numPr>
          <w:ilvl w:val="0"/>
          <w:numId w:val="22"/>
        </w:numPr>
        <w:bidi w:val="0"/>
      </w:pPr>
      <w:r>
        <w:t>产品与地雷、手雷等面杀伤武器无线交互接口和协议满足LSJT-JKXY-04《陆军实兵交战系统短距无线通信接口规范》中相关指令要求；</w:t>
      </w:r>
    </w:p>
    <w:p>
      <w:pPr>
        <w:pStyle w:val="40"/>
        <w:numPr>
          <w:ilvl w:val="0"/>
          <w:numId w:val="22"/>
        </w:numPr>
        <w:bidi w:val="0"/>
      </w:pPr>
      <w:r>
        <w:t>产品被直瞄武器榴弹命中时，与其他终端无线交互接口和协议满足LSJT-JKXY-04《陆军实兵交战系统短距无线通信接口规范》中相关指令要求；</w:t>
      </w:r>
    </w:p>
    <w:p>
      <w:pPr>
        <w:pStyle w:val="40"/>
        <w:numPr>
          <w:ilvl w:val="0"/>
          <w:numId w:val="22"/>
        </w:numPr>
        <w:bidi w:val="0"/>
      </w:pPr>
      <w:r>
        <w:t>产品与装弹采集器无线交互接口和协议满足LSJT-JKXY-02《陆军实兵交战系统红外短距数据通信接口规范》和LSJT-JKXY-04《陆军实兵交战系统短距无线通信接口规范》中相关指令要求；</w:t>
      </w:r>
    </w:p>
    <w:p>
      <w:pPr>
        <w:pStyle w:val="40"/>
        <w:numPr>
          <w:ilvl w:val="0"/>
          <w:numId w:val="22"/>
        </w:numPr>
        <w:bidi w:val="0"/>
      </w:pPr>
      <w:r>
        <w:t>产品与弹药输送车模拟终端无线交互接口和协议满足LSJT-JKXY-02《陆军实兵交战系统红外短距数据通信接口规范》中相关指令要求；</w:t>
      </w:r>
    </w:p>
    <w:p>
      <w:pPr>
        <w:pStyle w:val="40"/>
        <w:numPr>
          <w:ilvl w:val="0"/>
          <w:numId w:val="22"/>
        </w:numPr>
        <w:bidi w:val="0"/>
      </w:pPr>
      <w:r>
        <w:t>产品与终端检测器无线交互接口和协议满足LSJT-JKXY-02《陆军实兵交战系统红外短距数据通信接口规范》和LSJT-JKXY-04《陆军实兵交战系统短距无线通信接口规范》中相关指令要求；</w:t>
      </w:r>
    </w:p>
    <w:p>
      <w:pPr>
        <w:pStyle w:val="40"/>
        <w:numPr>
          <w:ilvl w:val="0"/>
          <w:numId w:val="22"/>
        </w:numPr>
        <w:bidi w:val="0"/>
      </w:pPr>
      <w:r>
        <w:t>产品设计外部数据接口，满足主控软件在线升级和数据输入输出要求。</w:t>
      </w:r>
    </w:p>
    <w:p>
      <w:pPr>
        <w:pStyle w:val="35"/>
        <w:bidi w:val="0"/>
      </w:pPr>
      <w:bookmarkStart w:id="72" w:name="_Toc8723464"/>
      <w:bookmarkStart w:id="73" w:name="_Toc20382136"/>
      <w:bookmarkStart w:id="74" w:name="_Toc22376400"/>
      <w:bookmarkStart w:id="75" w:name="_Toc20344109"/>
      <w:bookmarkStart w:id="76" w:name="_Toc20238449"/>
      <w:r>
        <w:t>数据</w:t>
      </w:r>
      <w:bookmarkEnd w:id="72"/>
      <w:r>
        <w:t>存储</w:t>
      </w:r>
      <w:bookmarkEnd w:id="73"/>
      <w:bookmarkEnd w:id="74"/>
      <w:bookmarkEnd w:id="75"/>
      <w:bookmarkEnd w:id="76"/>
    </w:p>
    <w:p>
      <w:pPr>
        <w:pStyle w:val="46"/>
        <w:bidi w:val="0"/>
      </w:pPr>
      <w:r>
        <w:t>产品具备50条交战事件自动存储能力，存储信息在产品掉电后不丢失，通信恢复后可自主上传。</w:t>
      </w:r>
    </w:p>
    <w:p>
      <w:pPr>
        <w:pStyle w:val="35"/>
        <w:bidi w:val="0"/>
      </w:pPr>
      <w:r>
        <w:rPr>
          <w:rFonts w:hint="eastAsia"/>
        </w:rPr>
        <w:t>六性</w:t>
      </w:r>
      <w:r>
        <w:rPr>
          <w:rFonts w:hint="eastAsia"/>
          <w:lang w:eastAsia="zh-CN"/>
        </w:rPr>
        <w:t>指标</w:t>
      </w:r>
    </w:p>
    <w:p>
      <w:pPr>
        <w:pStyle w:val="37"/>
        <w:bidi w:val="0"/>
        <w:rPr>
          <w:rFonts w:hint="eastAsia"/>
        </w:rPr>
      </w:pPr>
      <w:r>
        <w:rPr>
          <w:rFonts w:hint="eastAsia"/>
        </w:rPr>
        <w:t>可靠性</w:t>
      </w:r>
    </w:p>
    <w:p>
      <w:pPr>
        <w:bidi w:val="0"/>
        <w:ind w:firstLine="560" w:firstLineChars="200"/>
      </w:pPr>
      <w:r>
        <w:rPr>
          <w:rFonts w:hint="eastAsia"/>
        </w:rPr>
        <w:t>MTBF≥</w:t>
      </w:r>
      <w:r>
        <w:rPr>
          <w:rFonts w:hint="eastAsia"/>
          <w:lang w:val="en-US" w:eastAsia="zh-CN"/>
        </w:rPr>
        <w:t>3</w:t>
      </w:r>
      <w:r>
        <w:rPr>
          <w:rFonts w:hint="eastAsia"/>
        </w:rPr>
        <w:t>00h。</w:t>
      </w:r>
    </w:p>
    <w:p>
      <w:pPr>
        <w:pStyle w:val="37"/>
        <w:bidi w:val="0"/>
        <w:rPr>
          <w:rFonts w:hint="eastAsia"/>
        </w:rPr>
      </w:pPr>
      <w:r>
        <w:rPr>
          <w:rFonts w:hint="eastAsia"/>
        </w:rPr>
        <w:t>维修性</w:t>
      </w:r>
    </w:p>
    <w:p>
      <w:pPr>
        <w:bidi w:val="0"/>
        <w:ind w:firstLine="560" w:firstLineChars="200"/>
      </w:pPr>
      <w:r>
        <w:rPr>
          <w:rFonts w:hint="eastAsia"/>
        </w:rPr>
        <w:t>MTTR≤30min。</w:t>
      </w:r>
    </w:p>
    <w:p>
      <w:pPr>
        <w:pStyle w:val="37"/>
        <w:bidi w:val="0"/>
        <w:rPr>
          <w:rFonts w:hint="eastAsia"/>
        </w:rPr>
      </w:pPr>
      <w:r>
        <w:rPr>
          <w:rFonts w:hint="eastAsia"/>
        </w:rPr>
        <w:t>保障性</w:t>
      </w:r>
    </w:p>
    <w:p>
      <w:pPr>
        <w:numPr>
          <w:ilvl w:val="0"/>
          <w:numId w:val="23"/>
        </w:numPr>
        <w:bidi w:val="0"/>
        <w:ind w:left="420" w:leftChars="0" w:hanging="420" w:firstLineChars="0"/>
        <w:rPr>
          <w:rFonts w:hint="eastAsia"/>
        </w:rPr>
      </w:pPr>
      <w:r>
        <w:rPr>
          <w:rFonts w:hint="eastAsia"/>
        </w:rPr>
        <w:t>各类模拟终端提供运输和存储包装箱，包装箱可通过人工方式装载。终端拆卸安装、调试校正、维护保养操作简单快捷，结合时紧密牢固。</w:t>
      </w:r>
    </w:p>
    <w:p>
      <w:pPr>
        <w:numPr>
          <w:ilvl w:val="0"/>
          <w:numId w:val="23"/>
        </w:numPr>
        <w:bidi w:val="0"/>
        <w:ind w:left="420" w:leftChars="0" w:hanging="420" w:firstLineChars="0"/>
        <w:rPr>
          <w:rFonts w:hint="eastAsia"/>
        </w:rPr>
      </w:pPr>
      <w:r>
        <w:rPr>
          <w:rFonts w:hint="eastAsia"/>
        </w:rPr>
        <w:t>提供设备维护与保养必须的工具</w:t>
      </w:r>
      <w:r>
        <w:rPr>
          <w:rFonts w:hint="eastAsia"/>
          <w:lang w:eastAsia="zh-CN"/>
        </w:rPr>
        <w:t>（维修专用工具比例</w:t>
      </w:r>
      <w:r>
        <w:rPr>
          <w:rFonts w:hint="eastAsia"/>
          <w:lang w:val="en-US" w:eastAsia="zh-CN"/>
        </w:rPr>
        <w:t>1%</w:t>
      </w:r>
      <w:r>
        <w:rPr>
          <w:rFonts w:hint="eastAsia"/>
          <w:lang w:eastAsia="zh-CN"/>
        </w:rPr>
        <w:t>）。</w:t>
      </w:r>
    </w:p>
    <w:p>
      <w:pPr>
        <w:numPr>
          <w:ilvl w:val="0"/>
          <w:numId w:val="23"/>
        </w:numPr>
        <w:bidi w:val="0"/>
        <w:ind w:left="420" w:leftChars="0" w:hanging="420" w:firstLineChars="0"/>
        <w:rPr>
          <w:rFonts w:hint="eastAsia"/>
        </w:rPr>
      </w:pPr>
      <w:r>
        <w:rPr>
          <w:rFonts w:hint="eastAsia"/>
        </w:rPr>
        <w:t>使用说明书中明确产品必要的维护措施和方法、充电维护周期等事项，同期提供系统软件和硬件设备使用教材，包括</w:t>
      </w:r>
      <w:r>
        <w:rPr>
          <w:rFonts w:hint="eastAsia"/>
          <w:lang w:eastAsia="zh-CN"/>
        </w:rPr>
        <w:t>用户手册</w:t>
      </w:r>
      <w:r>
        <w:rPr>
          <w:rFonts w:hint="eastAsia"/>
        </w:rPr>
        <w:t>、</w:t>
      </w:r>
      <w:r>
        <w:rPr>
          <w:rFonts w:hint="eastAsia"/>
          <w:lang w:eastAsia="zh-CN"/>
        </w:rPr>
        <w:t>维护手册（包含</w:t>
      </w:r>
      <w:r>
        <w:rPr>
          <w:rFonts w:hint="eastAsia"/>
        </w:rPr>
        <w:t>现地级和基地级二级维修方案内容</w:t>
      </w:r>
      <w:r>
        <w:rPr>
          <w:rFonts w:hint="eastAsia"/>
          <w:lang w:eastAsia="zh-CN"/>
        </w:rPr>
        <w:t>，规模保障维护人员</w:t>
      </w:r>
      <w:r>
        <w:rPr>
          <w:rFonts w:hint="eastAsia"/>
          <w:lang w:val="en-US" w:eastAsia="zh-CN"/>
        </w:rPr>
        <w:t>15-20人</w:t>
      </w:r>
      <w:r>
        <w:rPr>
          <w:rFonts w:hint="eastAsia"/>
          <w:lang w:eastAsia="zh-CN"/>
        </w:rPr>
        <w:t>），及产品合格证、装箱清单、履历表</w:t>
      </w:r>
      <w:r>
        <w:rPr>
          <w:rFonts w:hint="eastAsia"/>
        </w:rPr>
        <w:t>。</w:t>
      </w:r>
    </w:p>
    <w:p>
      <w:pPr>
        <w:numPr>
          <w:ilvl w:val="0"/>
          <w:numId w:val="23"/>
        </w:numPr>
        <w:adjustRightInd w:val="0"/>
        <w:spacing w:line="579" w:lineRule="exact"/>
        <w:ind w:left="420" w:leftChars="0" w:hanging="420" w:firstLineChars="0"/>
        <w:rPr>
          <w:rFonts w:ascii="宋体" w:hAnsi="宋体"/>
          <w:sz w:val="28"/>
          <w:szCs w:val="28"/>
        </w:rPr>
      </w:pPr>
      <w:r>
        <w:rPr>
          <w:rFonts w:hint="eastAsia" w:ascii="宋体" w:hAnsi="宋体"/>
          <w:sz w:val="28"/>
          <w:szCs w:val="28"/>
        </w:rPr>
        <w:t>配套专用的集中充放</w:t>
      </w:r>
      <w:bookmarkStart w:id="86" w:name="_GoBack"/>
      <w:bookmarkEnd w:id="86"/>
      <w:r>
        <w:rPr>
          <w:rFonts w:hint="eastAsia" w:ascii="宋体" w:hAnsi="宋体"/>
          <w:sz w:val="28"/>
          <w:szCs w:val="28"/>
        </w:rPr>
        <w:t>电设备</w:t>
      </w:r>
      <w:r>
        <w:rPr>
          <w:rFonts w:hint="eastAsia" w:ascii="宋体" w:hAnsi="宋体"/>
          <w:sz w:val="28"/>
          <w:szCs w:val="28"/>
          <w:lang w:eastAsia="zh-CN"/>
        </w:rPr>
        <w:t>。</w:t>
      </w:r>
    </w:p>
    <w:p>
      <w:pPr>
        <w:pStyle w:val="2"/>
        <w:numPr>
          <w:ilvl w:val="0"/>
          <w:numId w:val="23"/>
        </w:numPr>
        <w:ind w:left="420" w:leftChars="0" w:hanging="420" w:firstLineChars="0"/>
      </w:pPr>
      <w:r>
        <w:rPr>
          <w:rFonts w:hint="eastAsia" w:ascii="宋体" w:hAnsi="宋体"/>
          <w:sz w:val="28"/>
          <w:szCs w:val="28"/>
        </w:rPr>
        <w:t>配套仓储信息化管理系统</w:t>
      </w:r>
      <w:r>
        <w:rPr>
          <w:rFonts w:hint="eastAsia" w:ascii="宋体" w:hAnsi="宋体"/>
          <w:sz w:val="28"/>
          <w:szCs w:val="28"/>
          <w:lang w:eastAsia="zh-CN"/>
        </w:rPr>
        <w:t>。</w:t>
      </w:r>
    </w:p>
    <w:p>
      <w:pPr>
        <w:pStyle w:val="37"/>
        <w:bidi w:val="0"/>
      </w:pPr>
      <w:r>
        <w:rPr>
          <w:rFonts w:hint="eastAsia"/>
        </w:rPr>
        <w:t>测试性</w:t>
      </w:r>
    </w:p>
    <w:p>
      <w:pPr>
        <w:numPr>
          <w:ilvl w:val="0"/>
          <w:numId w:val="23"/>
        </w:numPr>
        <w:bidi w:val="0"/>
      </w:pPr>
      <w:r>
        <w:t>具有开机自检功能，检测内容包括火工品安装检测、定位状态检测等</w:t>
      </w:r>
    </w:p>
    <w:p>
      <w:pPr>
        <w:numPr>
          <w:ilvl w:val="0"/>
          <w:numId w:val="23"/>
        </w:numPr>
        <w:bidi w:val="0"/>
        <w:ind w:left="420" w:leftChars="0" w:hanging="420" w:firstLineChars="0"/>
      </w:pPr>
      <w:r>
        <w:rPr>
          <w:rFonts w:hint="eastAsia"/>
        </w:rPr>
        <w:t>产品能根据故障检测设备的测试指令自动完成故障定位输出，虚警率2%；</w:t>
      </w:r>
    </w:p>
    <w:p>
      <w:pPr>
        <w:numPr>
          <w:ilvl w:val="0"/>
          <w:numId w:val="23"/>
        </w:numPr>
        <w:bidi w:val="0"/>
        <w:ind w:left="420" w:leftChars="0" w:hanging="420" w:firstLineChars="0"/>
      </w:pPr>
      <w:r>
        <w:rPr>
          <w:rFonts w:hint="eastAsia"/>
        </w:rPr>
        <w:t>产品故障隔离率95%。</w:t>
      </w:r>
    </w:p>
    <w:p>
      <w:pPr>
        <w:pStyle w:val="37"/>
        <w:bidi w:val="0"/>
      </w:pPr>
      <w:r>
        <w:rPr>
          <w:rFonts w:hint="eastAsia"/>
        </w:rPr>
        <w:t>安全性</w:t>
      </w:r>
    </w:p>
    <w:p>
      <w:pPr>
        <w:numPr>
          <w:ilvl w:val="0"/>
          <w:numId w:val="23"/>
        </w:numPr>
        <w:bidi w:val="0"/>
        <w:ind w:left="420" w:leftChars="0" w:hanging="420" w:firstLineChars="0"/>
      </w:pPr>
      <w:r>
        <w:rPr>
          <w:rFonts w:hint="eastAsia"/>
        </w:rPr>
        <w:t>产品具有激光安全专用标识，标识内容与格式应符合《GB  7247.1-2012/激光产品的安全/第1 部分设备分类、要求》中第 5 部分“标记”相关要求,产品激光发射口有明显安全标识；</w:t>
      </w:r>
    </w:p>
    <w:p>
      <w:pPr>
        <w:numPr>
          <w:ilvl w:val="0"/>
          <w:numId w:val="23"/>
        </w:numPr>
        <w:bidi w:val="0"/>
        <w:ind w:left="420" w:leftChars="0" w:hanging="420" w:firstLineChars="0"/>
      </w:pPr>
      <w:r>
        <w:rPr>
          <w:rFonts w:hint="eastAsia"/>
        </w:rPr>
        <w:t>产品符合相应人眼危害距离要求；</w:t>
      </w:r>
    </w:p>
    <w:p>
      <w:pPr>
        <w:numPr>
          <w:ilvl w:val="0"/>
          <w:numId w:val="23"/>
        </w:numPr>
        <w:bidi w:val="0"/>
        <w:ind w:left="420" w:leftChars="0" w:hanging="420" w:firstLineChars="0"/>
      </w:pPr>
      <w:r>
        <w:rPr>
          <w:rFonts w:hint="eastAsia"/>
        </w:rPr>
        <w:t>产品火工品安装处有安全警示标志和操作规程；</w:t>
      </w:r>
    </w:p>
    <w:p>
      <w:pPr>
        <w:numPr>
          <w:ilvl w:val="0"/>
          <w:numId w:val="23"/>
        </w:numPr>
        <w:bidi w:val="0"/>
        <w:ind w:left="420" w:leftChars="0" w:hanging="420" w:firstLineChars="0"/>
        <w:rPr>
          <w:rFonts w:hint="eastAsia"/>
          <w:lang w:val="en-US" w:eastAsia="zh-CN"/>
        </w:rPr>
      </w:pPr>
      <w:r>
        <w:rPr>
          <w:rFonts w:hint="eastAsia"/>
          <w:lang w:val="en-US" w:eastAsia="zh-CN"/>
        </w:rPr>
        <w:t>声光弹发射后不产生粉碎性变化；</w:t>
      </w:r>
    </w:p>
    <w:p>
      <w:pPr>
        <w:numPr>
          <w:ilvl w:val="0"/>
          <w:numId w:val="23"/>
        </w:numPr>
        <w:bidi w:val="0"/>
        <w:ind w:left="420" w:leftChars="0" w:hanging="420" w:firstLineChars="0"/>
        <w:rPr>
          <w:rFonts w:hint="eastAsia"/>
          <w:lang w:val="en-US" w:eastAsia="zh-CN"/>
        </w:rPr>
      </w:pPr>
      <w:r>
        <w:rPr>
          <w:rFonts w:hint="eastAsia"/>
          <w:lang w:val="en-US" w:eastAsia="zh-CN"/>
        </w:rPr>
        <w:t>烟雾罐发烟时出烟柔和，不产生爆炸、不散射；</w:t>
      </w:r>
    </w:p>
    <w:p>
      <w:pPr>
        <w:numPr>
          <w:ilvl w:val="0"/>
          <w:numId w:val="23"/>
        </w:numPr>
        <w:bidi w:val="0"/>
        <w:ind w:left="420" w:leftChars="0" w:hanging="420" w:firstLineChars="0"/>
        <w:rPr>
          <w:rFonts w:hint="eastAsia"/>
          <w:lang w:val="en-US" w:eastAsia="zh-CN"/>
        </w:rPr>
      </w:pPr>
      <w:r>
        <w:rPr>
          <w:rFonts w:hint="eastAsia"/>
          <w:lang w:val="en-US" w:eastAsia="zh-CN"/>
        </w:rPr>
        <w:t>烟雾罐发烟时无明火、不燃烧，底部不出烟；</w:t>
      </w:r>
    </w:p>
    <w:p>
      <w:pPr>
        <w:numPr>
          <w:ilvl w:val="0"/>
          <w:numId w:val="23"/>
        </w:numPr>
        <w:bidi w:val="0"/>
        <w:ind w:left="420" w:leftChars="0" w:hanging="420" w:firstLineChars="0"/>
        <w:rPr>
          <w:rFonts w:hint="default"/>
          <w:lang w:val="en-US" w:eastAsia="zh-CN"/>
        </w:rPr>
      </w:pPr>
      <w:r>
        <w:rPr>
          <w:rFonts w:hint="eastAsia"/>
          <w:lang w:val="en-US" w:eastAsia="zh-CN"/>
        </w:rPr>
        <w:t>发射弹和烟雾罐引燃后电阻丝熔断，不存在低阻连接现象；</w:t>
      </w:r>
    </w:p>
    <w:p>
      <w:pPr>
        <w:pStyle w:val="2"/>
        <w:numPr>
          <w:ilvl w:val="0"/>
          <w:numId w:val="23"/>
        </w:numPr>
        <w:ind w:left="420" w:leftChars="0" w:hanging="420" w:firstLineChars="0"/>
        <w:rPr>
          <w:rFonts w:hint="default"/>
          <w:lang w:val="en-US" w:eastAsia="zh-CN"/>
        </w:rPr>
      </w:pPr>
      <w:r>
        <w:rPr>
          <w:rFonts w:hint="eastAsia"/>
        </w:rPr>
        <w:t>模拟交战终端上安装的激光发射装置按使用要求严格控制发射功率，标注安全警示标识，防止对人眼造成伤害。电气布线应考虑强、弱电分离，设备运输与储存包装箱应标识最大堆码层数。相关强电使用设备的绝缘电阻和介电常数满足</w:t>
      </w:r>
      <w:r>
        <w:t>GJB367A-2001</w:t>
      </w:r>
      <w:r>
        <w:rPr>
          <w:rFonts w:hint="eastAsia"/>
        </w:rPr>
        <w:t>《军用通信设备通用规范》</w:t>
      </w:r>
      <w:r>
        <w:t>3.13</w:t>
      </w:r>
      <w:r>
        <w:rPr>
          <w:rFonts w:hint="eastAsia"/>
        </w:rPr>
        <w:t>规定的要求。</w:t>
      </w:r>
    </w:p>
    <w:p>
      <w:pPr>
        <w:pStyle w:val="37"/>
        <w:bidi w:val="0"/>
        <w:rPr>
          <w:rFonts w:hint="eastAsia"/>
        </w:rPr>
      </w:pPr>
      <w:r>
        <w:rPr>
          <w:rFonts w:hint="eastAsia"/>
        </w:rPr>
        <w:t>环境适应性</w:t>
      </w:r>
    </w:p>
    <w:p>
      <w:pPr>
        <w:pStyle w:val="38"/>
        <w:bidi w:val="0"/>
      </w:pPr>
      <w:r>
        <w:rPr>
          <w:rFonts w:hint="eastAsia"/>
        </w:rPr>
        <w:t>低温工作</w:t>
      </w:r>
    </w:p>
    <w:p>
      <w:pPr>
        <w:pStyle w:val="46"/>
        <w:bidi w:val="0"/>
      </w:pPr>
      <w:r>
        <w:rPr>
          <w:rFonts w:hint="eastAsia"/>
        </w:rPr>
        <w:t>产品满足：产品在-20℃环境温度下连续工作4小时，工作期间产品功能正常。</w:t>
      </w:r>
    </w:p>
    <w:p>
      <w:pPr>
        <w:pStyle w:val="38"/>
        <w:bidi w:val="0"/>
      </w:pPr>
      <w:r>
        <w:rPr>
          <w:rFonts w:hint="eastAsia"/>
        </w:rPr>
        <w:t>低温贮存</w:t>
      </w:r>
    </w:p>
    <w:p>
      <w:pPr>
        <w:pStyle w:val="46"/>
        <w:bidi w:val="0"/>
      </w:pPr>
      <w:r>
        <w:rPr>
          <w:rFonts w:hint="eastAsia"/>
        </w:rPr>
        <w:t>产品在-30℃环境温度下连续贮存12小时后再将产品置于正常环境条件下，达到温度稳定后，产品的功能正常。</w:t>
      </w:r>
    </w:p>
    <w:p>
      <w:pPr>
        <w:pStyle w:val="38"/>
        <w:bidi w:val="0"/>
      </w:pPr>
      <w:r>
        <w:rPr>
          <w:rFonts w:hint="eastAsia"/>
        </w:rPr>
        <w:t>高温工作</w:t>
      </w:r>
    </w:p>
    <w:p>
      <w:pPr>
        <w:pStyle w:val="46"/>
        <w:bidi w:val="0"/>
      </w:pPr>
      <w:r>
        <w:rPr>
          <w:rFonts w:hint="eastAsia"/>
        </w:rPr>
        <w:t>产品在60℃环境温度下连续工作4小时，工作期间产品功能正常。</w:t>
      </w:r>
    </w:p>
    <w:p>
      <w:pPr>
        <w:pStyle w:val="38"/>
        <w:bidi w:val="0"/>
      </w:pPr>
      <w:r>
        <w:rPr>
          <w:rFonts w:hint="eastAsia"/>
        </w:rPr>
        <w:t>高温贮存</w:t>
      </w:r>
    </w:p>
    <w:p>
      <w:pPr>
        <w:pStyle w:val="46"/>
        <w:bidi w:val="0"/>
      </w:pPr>
      <w:r>
        <w:rPr>
          <w:rFonts w:hint="eastAsia"/>
        </w:rPr>
        <w:t>产品在70℃环境温度下连续贮存12小时后再将产品置于正常环境条件下，达到温度稳定后，产品的功能正常。</w:t>
      </w:r>
    </w:p>
    <w:p>
      <w:pPr>
        <w:pStyle w:val="38"/>
        <w:bidi w:val="0"/>
      </w:pPr>
      <w:r>
        <w:rPr>
          <w:rFonts w:hint="eastAsia"/>
        </w:rPr>
        <w:t>运输振动</w:t>
      </w:r>
    </w:p>
    <w:p>
      <w:pPr>
        <w:bidi w:val="0"/>
        <w:ind w:firstLine="560" w:firstLineChars="200"/>
      </w:pPr>
      <w:r>
        <w:rPr>
          <w:rFonts w:hint="eastAsia"/>
          <w:lang w:eastAsia="zh-CN"/>
        </w:rPr>
        <w:t>设备终端</w:t>
      </w:r>
      <w:r>
        <w:rPr>
          <w:rFonts w:hint="eastAsia"/>
        </w:rPr>
        <w:t>在模拟三级公路试验台上振动0.5h后能正常工作。</w:t>
      </w:r>
    </w:p>
    <w:p>
      <w:pPr>
        <w:pStyle w:val="38"/>
        <w:bidi w:val="0"/>
      </w:pPr>
      <w:r>
        <w:rPr>
          <w:rFonts w:hint="eastAsia"/>
        </w:rPr>
        <w:t>冲击</w:t>
      </w:r>
    </w:p>
    <w:p>
      <w:pPr>
        <w:bidi w:val="0"/>
        <w:ind w:firstLine="560" w:firstLineChars="200"/>
      </w:pPr>
      <w:r>
        <w:rPr>
          <w:rFonts w:hint="eastAsia"/>
          <w:lang w:eastAsia="zh-CN"/>
        </w:rPr>
        <w:t>设备终端</w:t>
      </w:r>
      <w:r>
        <w:rPr>
          <w:rFonts w:hint="eastAsia"/>
        </w:rPr>
        <w:t>在加速度15g、半正弦波脉冲宽度11ms的冲击条件下，沿X（</w:t>
      </w:r>
      <w:r>
        <w:rPr>
          <w:rFonts w:hint="eastAsia"/>
          <w:lang w:eastAsia="zh-CN"/>
        </w:rPr>
        <w:t>设备终端</w:t>
      </w:r>
      <w:r>
        <w:rPr>
          <w:rFonts w:hint="eastAsia"/>
        </w:rPr>
        <w:t>安装方向）、Y（</w:t>
      </w:r>
      <w:r>
        <w:rPr>
          <w:rFonts w:hint="eastAsia"/>
          <w:lang w:eastAsia="zh-CN"/>
        </w:rPr>
        <w:t>设备终端</w:t>
      </w:r>
      <w:r>
        <w:rPr>
          <w:rFonts w:hint="eastAsia"/>
        </w:rPr>
        <w:t>安装侧向）方向各冲击3次，试验后能正常工作。</w:t>
      </w:r>
    </w:p>
    <w:p>
      <w:pPr>
        <w:pStyle w:val="38"/>
        <w:bidi w:val="0"/>
      </w:pPr>
      <w:r>
        <w:rPr>
          <w:rFonts w:hint="eastAsia"/>
        </w:rPr>
        <w:t>防雨淋</w:t>
      </w:r>
    </w:p>
    <w:p>
      <w:pPr>
        <w:bidi w:val="0"/>
        <w:ind w:firstLine="560" w:firstLineChars="200"/>
      </w:pPr>
      <w:r>
        <w:rPr>
          <w:rFonts w:hint="eastAsia"/>
          <w:lang w:eastAsia="zh-CN"/>
        </w:rPr>
        <w:t>设备终端</w:t>
      </w:r>
      <w:r>
        <w:rPr>
          <w:rFonts w:hint="eastAsia"/>
        </w:rPr>
        <w:t>在雨量100mm/h的条件下持续雨淋0.5h后能正常工作。</w:t>
      </w:r>
    </w:p>
    <w:p>
      <w:pPr>
        <w:pStyle w:val="38"/>
        <w:bidi w:val="0"/>
      </w:pPr>
      <w:r>
        <w:rPr>
          <w:rFonts w:hint="eastAsia"/>
        </w:rPr>
        <w:t>沙尘</w:t>
      </w:r>
    </w:p>
    <w:p>
      <w:pPr>
        <w:bidi w:val="0"/>
        <w:ind w:firstLine="560" w:firstLineChars="200"/>
      </w:pPr>
      <w:r>
        <w:rPr>
          <w:rFonts w:hint="eastAsia"/>
          <w:lang w:eastAsia="zh-CN"/>
        </w:rPr>
        <w:t>设备终端</w:t>
      </w:r>
      <w:r>
        <w:rPr>
          <w:rFonts w:hint="eastAsia"/>
        </w:rPr>
        <w:t>满足GB/T4208-2017《外壳防护等级（IP代码）》中IP6X防护等级要求。</w:t>
      </w:r>
    </w:p>
    <w:p>
      <w:pPr>
        <w:pStyle w:val="35"/>
        <w:bidi w:val="0"/>
      </w:pPr>
      <w:r>
        <w:t>扩展性</w:t>
      </w:r>
      <w:bookmarkEnd w:id="16"/>
      <w:bookmarkEnd w:id="17"/>
    </w:p>
    <w:p>
      <w:pPr>
        <w:pStyle w:val="46"/>
        <w:bidi w:val="0"/>
        <w:rPr>
          <w:rFonts w:hint="eastAsia"/>
        </w:rPr>
      </w:pPr>
      <w:r>
        <w:rPr>
          <w:rFonts w:hint="eastAsia"/>
        </w:rPr>
        <w:t>能接收主控软件下发的我军及外军同类武器火力和防护性能参数配置指令，并能按配置要求完成有效射程</w:t>
      </w:r>
      <w:r>
        <w:t>600</w:t>
      </w:r>
      <w:r>
        <w:rPr>
          <w:rFonts w:hint="eastAsia"/>
        </w:rPr>
        <w:t>米以内的我军及外军单兵火箭筒效能模拟。</w:t>
      </w:r>
    </w:p>
    <w:p>
      <w:pPr>
        <w:pStyle w:val="35"/>
        <w:bidi w:val="0"/>
      </w:pPr>
      <w:bookmarkStart w:id="77" w:name="_Toc22379525"/>
      <w:bookmarkStart w:id="78" w:name="_Toc8916849"/>
      <w:bookmarkStart w:id="79" w:name="_Toc19102429"/>
      <w:r>
        <w:t>电磁兼容性要求</w:t>
      </w:r>
      <w:bookmarkEnd w:id="77"/>
      <w:bookmarkEnd w:id="78"/>
      <w:bookmarkEnd w:id="79"/>
    </w:p>
    <w:p>
      <w:pPr>
        <w:pStyle w:val="46"/>
        <w:bidi w:val="0"/>
      </w:pPr>
      <w:r>
        <w:t>满足GJB151B-2013《军用设备和分系统电磁发射和敏感度要求与测量》中对陆军地面设备的以下测试条款限值要求（含剪裁要求）：</w:t>
      </w:r>
    </w:p>
    <w:p>
      <w:pPr>
        <w:pStyle w:val="40"/>
        <w:numPr>
          <w:ilvl w:val="0"/>
          <w:numId w:val="24"/>
        </w:numPr>
        <w:bidi w:val="0"/>
      </w:pPr>
      <w:r>
        <w:t>RS103电场辐射敏感度（10kHz～40GHz）：10V/m；</w:t>
      </w:r>
    </w:p>
    <w:p>
      <w:pPr>
        <w:pStyle w:val="40"/>
        <w:numPr>
          <w:ilvl w:val="0"/>
          <w:numId w:val="24"/>
        </w:numPr>
        <w:bidi w:val="0"/>
      </w:pPr>
      <w:r>
        <w:t>CS114电缆束注入传导敏感度（4kHz～400MHz）：曲线二；</w:t>
      </w:r>
    </w:p>
    <w:p>
      <w:pPr>
        <w:pStyle w:val="40"/>
        <w:numPr>
          <w:ilvl w:val="0"/>
          <w:numId w:val="24"/>
        </w:numPr>
        <w:bidi w:val="0"/>
      </w:pPr>
      <w:r>
        <w:t>CS115电缆束注入脉冲激励传导敏感度：5A；</w:t>
      </w:r>
    </w:p>
    <w:p>
      <w:pPr>
        <w:pStyle w:val="40"/>
        <w:numPr>
          <w:ilvl w:val="0"/>
          <w:numId w:val="24"/>
        </w:numPr>
        <w:bidi w:val="0"/>
      </w:pPr>
      <w:r>
        <w:t>CS116电缆和电源线阻尼正弦瞬态传导敏感度（10kHz～100MHz）：标准限值；</w:t>
      </w:r>
    </w:p>
    <w:p>
      <w:pPr>
        <w:pStyle w:val="40"/>
        <w:numPr>
          <w:ilvl w:val="0"/>
          <w:numId w:val="24"/>
        </w:numPr>
        <w:bidi w:val="0"/>
      </w:pPr>
      <w:r>
        <w:t>RE102电场辐射发射（10kHz～18GHz）：标准限值+20dB。</w:t>
      </w:r>
    </w:p>
    <w:p>
      <w:pPr>
        <w:pStyle w:val="35"/>
        <w:bidi w:val="0"/>
      </w:pPr>
      <w:bookmarkStart w:id="80" w:name="_Toc19102430"/>
      <w:bookmarkStart w:id="81" w:name="_Toc22379526"/>
      <w:r>
        <w:t>供电</w:t>
      </w:r>
      <w:bookmarkEnd w:id="80"/>
      <w:bookmarkEnd w:id="81"/>
    </w:p>
    <w:p>
      <w:pPr>
        <w:pStyle w:val="40"/>
        <w:numPr>
          <w:ilvl w:val="0"/>
          <w:numId w:val="25"/>
        </w:numPr>
        <w:bidi w:val="0"/>
      </w:pPr>
      <w:r>
        <w:t>采用锂电池供电，规格参数符合GJB916B-2011《军用锂电池</w:t>
      </w:r>
      <w:r>
        <w:rPr>
          <w:rFonts w:hint="eastAsia"/>
          <w:lang w:eastAsia="zh-CN"/>
        </w:rPr>
        <w:t>发射机</w:t>
      </w:r>
      <w:r>
        <w:t>规范》的要求；</w:t>
      </w:r>
    </w:p>
    <w:p>
      <w:pPr>
        <w:pStyle w:val="40"/>
        <w:numPr>
          <w:ilvl w:val="0"/>
          <w:numId w:val="25"/>
        </w:numPr>
        <w:bidi w:val="0"/>
      </w:pPr>
      <w:r>
        <w:t>电池容量满足连续工作时间</w:t>
      </w:r>
      <w:r>
        <w:rPr>
          <w:rFonts w:hint="eastAsia"/>
          <w:lang w:eastAsia="zh-CN"/>
        </w:rPr>
        <w:t>：</w:t>
      </w:r>
      <w:r>
        <w:rPr>
          <w:rFonts w:hint="eastAsia"/>
          <w:lang w:val="en-US" w:eastAsia="zh-CN"/>
        </w:rPr>
        <w:t>12</w:t>
      </w:r>
      <w:r>
        <w:t>h（单组电池）要求；</w:t>
      </w:r>
    </w:p>
    <w:p>
      <w:pPr>
        <w:pStyle w:val="40"/>
        <w:numPr>
          <w:ilvl w:val="0"/>
          <w:numId w:val="25"/>
        </w:numPr>
        <w:bidi w:val="0"/>
      </w:pPr>
      <w:r>
        <w:t>单组电池充电时间：6h；</w:t>
      </w:r>
    </w:p>
    <w:p>
      <w:pPr>
        <w:pStyle w:val="40"/>
        <w:numPr>
          <w:ilvl w:val="0"/>
          <w:numId w:val="25"/>
        </w:numPr>
        <w:bidi w:val="0"/>
      </w:pPr>
      <w:r>
        <w:rPr>
          <w:rFonts w:hint="eastAsia"/>
          <w:lang w:eastAsia="zh-CN"/>
        </w:rPr>
        <w:t>发射机</w:t>
      </w:r>
      <w:r>
        <w:t>提供1组备用电池，电池更换时间</w:t>
      </w:r>
      <w:r>
        <w:rPr>
          <w:rFonts w:hint="eastAsia"/>
          <w:lang w:eastAsia="zh-CN"/>
        </w:rPr>
        <w:t>：</w:t>
      </w:r>
      <w:r>
        <w:t>1min。</w:t>
      </w:r>
    </w:p>
    <w:p>
      <w:pPr>
        <w:pStyle w:val="35"/>
        <w:bidi w:val="0"/>
      </w:pPr>
      <w:bookmarkStart w:id="82" w:name="_Toc19102431"/>
      <w:bookmarkStart w:id="83" w:name="_Toc22379527"/>
      <w:r>
        <w:t>安装使用</w:t>
      </w:r>
      <w:bookmarkEnd w:id="82"/>
      <w:bookmarkEnd w:id="83"/>
    </w:p>
    <w:p>
      <w:pPr>
        <w:pStyle w:val="40"/>
        <w:numPr>
          <w:ilvl w:val="0"/>
          <w:numId w:val="26"/>
        </w:numPr>
        <w:bidi w:val="0"/>
      </w:pPr>
      <w:bookmarkStart w:id="84" w:name="_Toc22379534"/>
      <w:bookmarkStart w:id="85" w:name="_Toc19102438"/>
      <w:r>
        <w:t>采用实装外挂式安装结构，能够单人完成安装，安装时间</w:t>
      </w:r>
      <w:r>
        <w:rPr>
          <w:rFonts w:hint="eastAsia"/>
          <w:lang w:eastAsia="zh-CN"/>
        </w:rPr>
        <w:t>：</w:t>
      </w:r>
      <w:r>
        <w:t>5</w:t>
      </w:r>
      <w:r>
        <w:rPr>
          <w:rFonts w:hint="eastAsia"/>
        </w:rPr>
        <w:t>min</w:t>
      </w:r>
      <w:r>
        <w:t>；</w:t>
      </w:r>
    </w:p>
    <w:p>
      <w:pPr>
        <w:pStyle w:val="40"/>
        <w:numPr>
          <w:ilvl w:val="0"/>
          <w:numId w:val="26"/>
        </w:numPr>
        <w:bidi w:val="0"/>
      </w:pPr>
      <w:r>
        <w:t>固定方式充分考虑牢固性和便携性要求，在单兵携带过程中</w:t>
      </w:r>
      <w:r>
        <w:rPr>
          <w:rFonts w:hint="eastAsia"/>
          <w:lang w:val="en-US" w:eastAsia="zh-CN"/>
        </w:rPr>
        <w:t>不会</w:t>
      </w:r>
      <w:r>
        <w:t>出现松动等现象；</w:t>
      </w:r>
    </w:p>
    <w:p>
      <w:pPr>
        <w:pStyle w:val="40"/>
        <w:numPr>
          <w:ilvl w:val="0"/>
          <w:numId w:val="26"/>
        </w:numPr>
        <w:bidi w:val="0"/>
      </w:pPr>
      <w:r>
        <w:t>无需校准即可使用；</w:t>
      </w:r>
    </w:p>
    <w:p>
      <w:pPr>
        <w:pStyle w:val="40"/>
        <w:numPr>
          <w:ilvl w:val="0"/>
          <w:numId w:val="26"/>
        </w:numPr>
        <w:bidi w:val="0"/>
      </w:pPr>
      <w:r>
        <w:t>产品为弹药手配备模拟弹，模拟弹能显示弹种和弹量，装弹过程及弹药补给与实际保持一致；</w:t>
      </w:r>
    </w:p>
    <w:p>
      <w:pPr>
        <w:pStyle w:val="40"/>
        <w:numPr>
          <w:ilvl w:val="0"/>
          <w:numId w:val="26"/>
        </w:numPr>
        <w:bidi w:val="0"/>
      </w:pPr>
      <w:r>
        <w:t>模拟弹模拟携带弹药，当弹药消耗完毕后，能通过装弹采集器或者弹药输送车模拟终端对模拟弹重新装弹；</w:t>
      </w:r>
    </w:p>
    <w:p>
      <w:pPr>
        <w:pStyle w:val="40"/>
        <w:numPr>
          <w:ilvl w:val="0"/>
          <w:numId w:val="26"/>
        </w:numPr>
        <w:bidi w:val="0"/>
      </w:pPr>
      <w:r>
        <w:t>模拟弹能使用实装背架携行；</w:t>
      </w:r>
    </w:p>
    <w:p>
      <w:pPr>
        <w:pStyle w:val="40"/>
        <w:numPr>
          <w:ilvl w:val="0"/>
          <w:numId w:val="26"/>
        </w:numPr>
        <w:bidi w:val="0"/>
      </w:pPr>
      <w:r>
        <w:t>产品的搜索、瞄准目标及发射操作过程与实装保持一致。</w:t>
      </w:r>
    </w:p>
    <w:p>
      <w:pPr>
        <w:pStyle w:val="35"/>
        <w:bidi w:val="0"/>
      </w:pPr>
      <w:r>
        <w:t>成套性</w:t>
      </w:r>
      <w:bookmarkEnd w:id="84"/>
      <w:bookmarkEnd w:id="85"/>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15"/>
        <w:gridCol w:w="2339"/>
        <w:gridCol w:w="664"/>
        <w:gridCol w:w="948"/>
        <w:gridCol w:w="4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top w:val="single" w:color="000000" w:sz="12" w:space="0"/>
              <w:left w:val="single" w:color="000000" w:sz="12" w:space="0"/>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b/>
                <w:sz w:val="21"/>
                <w:szCs w:val="21"/>
              </w:rPr>
            </w:pPr>
            <w:r>
              <w:rPr>
                <w:rFonts w:ascii="Calibri" w:hAnsi="Calibri" w:cs="Calibri"/>
                <w:b/>
                <w:bCs/>
                <w:sz w:val="21"/>
                <w:szCs w:val="21"/>
              </w:rPr>
              <w:t>序号</w:t>
            </w:r>
          </w:p>
        </w:tc>
        <w:tc>
          <w:tcPr>
            <w:tcW w:w="2410" w:type="dxa"/>
            <w:tcBorders>
              <w:top w:val="single" w:color="000000" w:sz="12" w:space="0"/>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b/>
                <w:sz w:val="21"/>
                <w:szCs w:val="21"/>
              </w:rPr>
            </w:pPr>
            <w:r>
              <w:rPr>
                <w:rFonts w:ascii="Calibri" w:hAnsi="Calibri" w:cs="Calibri"/>
                <w:b/>
                <w:bCs/>
                <w:sz w:val="21"/>
                <w:szCs w:val="21"/>
              </w:rPr>
              <w:t>部件</w:t>
            </w:r>
          </w:p>
        </w:tc>
        <w:tc>
          <w:tcPr>
            <w:tcW w:w="677" w:type="dxa"/>
            <w:tcBorders>
              <w:top w:val="single" w:color="000000" w:sz="12" w:space="0"/>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b/>
                <w:sz w:val="21"/>
                <w:szCs w:val="21"/>
              </w:rPr>
            </w:pPr>
            <w:r>
              <w:rPr>
                <w:rFonts w:ascii="Calibri" w:hAnsi="Calibri" w:cs="Calibri"/>
                <w:b/>
                <w:bCs/>
                <w:sz w:val="21"/>
                <w:szCs w:val="21"/>
              </w:rPr>
              <w:t>数量</w:t>
            </w:r>
          </w:p>
        </w:tc>
        <w:tc>
          <w:tcPr>
            <w:tcW w:w="976" w:type="dxa"/>
            <w:tcBorders>
              <w:top w:val="single" w:color="000000" w:sz="12" w:space="0"/>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b/>
                <w:sz w:val="21"/>
                <w:szCs w:val="21"/>
              </w:rPr>
            </w:pPr>
            <w:r>
              <w:rPr>
                <w:rFonts w:ascii="Calibri" w:hAnsi="Calibri" w:cs="Calibri"/>
                <w:b/>
                <w:bCs/>
                <w:sz w:val="21"/>
                <w:szCs w:val="21"/>
              </w:rPr>
              <w:t>单位</w:t>
            </w:r>
          </w:p>
        </w:tc>
        <w:tc>
          <w:tcPr>
            <w:tcW w:w="4505" w:type="dxa"/>
            <w:tcBorders>
              <w:top w:val="single" w:color="000000" w:sz="12" w:space="0"/>
              <w:bottom w:val="single" w:color="000000" w:sz="12" w:space="0"/>
              <w:righ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b/>
                <w:sz w:val="21"/>
                <w:szCs w:val="21"/>
              </w:rPr>
            </w:pPr>
            <w:r>
              <w:rPr>
                <w:rFonts w:ascii="Calibri" w:hAnsi="Calibri" w:cs="Calibri"/>
                <w:b/>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top w:val="single" w:color="000000" w:sz="12" w:space="0"/>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1</w:t>
            </w:r>
          </w:p>
        </w:tc>
        <w:tc>
          <w:tcPr>
            <w:tcW w:w="2410" w:type="dxa"/>
            <w:tcBorders>
              <w:top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控制主机</w:t>
            </w:r>
          </w:p>
        </w:tc>
        <w:tc>
          <w:tcPr>
            <w:tcW w:w="677" w:type="dxa"/>
            <w:tcBorders>
              <w:top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1</w:t>
            </w:r>
          </w:p>
        </w:tc>
        <w:tc>
          <w:tcPr>
            <w:tcW w:w="976" w:type="dxa"/>
            <w:tcBorders>
              <w:top w:val="single" w:color="000000" w:sz="12" w:space="0"/>
            </w:tcBorders>
            <w:shd w:val="clear" w:color="auto" w:fill="auto"/>
            <w:vAlign w:val="center"/>
          </w:tcPr>
          <w:p>
            <w:pPr>
              <w:snapToGrid w:val="0"/>
              <w:ind w:firstLine="0"/>
              <w:jc w:val="center"/>
              <w:rPr>
                <w:rFonts w:ascii="Calibri" w:hAnsi="Calibri" w:cs="Calibri"/>
                <w:sz w:val="21"/>
                <w:szCs w:val="21"/>
              </w:rPr>
            </w:pPr>
            <w:r>
              <w:rPr>
                <w:rFonts w:ascii="Calibri" w:hAnsi="Calibri" w:cs="Calibri"/>
                <w:sz w:val="21"/>
                <w:szCs w:val="21"/>
              </w:rPr>
              <w:t>个</w:t>
            </w:r>
          </w:p>
        </w:tc>
        <w:tc>
          <w:tcPr>
            <w:tcW w:w="4505" w:type="dxa"/>
            <w:tcBorders>
              <w:top w:val="single" w:color="000000" w:sz="12" w:space="0"/>
              <w:righ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2</w:t>
            </w:r>
          </w:p>
        </w:tc>
        <w:tc>
          <w:tcPr>
            <w:tcW w:w="2410" w:type="dxa"/>
            <w:shd w:val="clear" w:color="auto" w:fill="auto"/>
            <w:vAlign w:val="center"/>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击发装置</w:t>
            </w:r>
          </w:p>
        </w:tc>
        <w:tc>
          <w:tcPr>
            <w:tcW w:w="677" w:type="dxa"/>
            <w:shd w:val="clear" w:color="auto" w:fill="auto"/>
            <w:vAlign w:val="center"/>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1</w:t>
            </w:r>
          </w:p>
        </w:tc>
        <w:tc>
          <w:tcPr>
            <w:tcW w:w="976" w:type="dxa"/>
            <w:shd w:val="clear" w:color="auto" w:fill="auto"/>
            <w:vAlign w:val="center"/>
          </w:tcPr>
          <w:p>
            <w:pPr>
              <w:ind w:firstLine="0"/>
              <w:jc w:val="center"/>
              <w:rPr>
                <w:rFonts w:ascii="Calibri" w:hAnsi="Calibri" w:cs="Calibri"/>
                <w:sz w:val="21"/>
                <w:szCs w:val="21"/>
              </w:rPr>
            </w:pPr>
            <w:r>
              <w:rPr>
                <w:rFonts w:ascii="Calibri" w:hAnsi="Calibri" w:cs="Calibri"/>
                <w:sz w:val="21"/>
                <w:szCs w:val="21"/>
              </w:rPr>
              <w:t>个</w:t>
            </w:r>
          </w:p>
        </w:tc>
        <w:tc>
          <w:tcPr>
            <w:tcW w:w="4505" w:type="dxa"/>
            <w:tcBorders>
              <w:righ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3</w:t>
            </w:r>
          </w:p>
        </w:tc>
        <w:tc>
          <w:tcPr>
            <w:tcW w:w="2410" w:type="dxa"/>
            <w:shd w:val="clear" w:color="auto" w:fill="auto"/>
            <w:vAlign w:val="center"/>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模拟弹</w:t>
            </w:r>
          </w:p>
        </w:tc>
        <w:tc>
          <w:tcPr>
            <w:tcW w:w="677" w:type="dxa"/>
            <w:shd w:val="clear" w:color="auto" w:fill="auto"/>
            <w:vAlign w:val="center"/>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1</w:t>
            </w:r>
          </w:p>
        </w:tc>
        <w:tc>
          <w:tcPr>
            <w:tcW w:w="976" w:type="dxa"/>
            <w:shd w:val="clear" w:color="auto" w:fill="auto"/>
            <w:vAlign w:val="center"/>
          </w:tcPr>
          <w:p>
            <w:pPr>
              <w:ind w:firstLine="0"/>
              <w:jc w:val="center"/>
              <w:rPr>
                <w:rFonts w:ascii="Calibri" w:hAnsi="Calibri" w:cs="Calibri"/>
                <w:sz w:val="21"/>
                <w:szCs w:val="21"/>
              </w:rPr>
            </w:pPr>
            <w:r>
              <w:rPr>
                <w:rFonts w:ascii="Calibri" w:hAnsi="Calibri" w:cs="Calibri"/>
                <w:sz w:val="21"/>
                <w:szCs w:val="21"/>
              </w:rPr>
              <w:t>个</w:t>
            </w:r>
          </w:p>
        </w:tc>
        <w:tc>
          <w:tcPr>
            <w:tcW w:w="4505" w:type="dxa"/>
            <w:tcBorders>
              <w:righ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4</w:t>
            </w:r>
          </w:p>
        </w:tc>
        <w:tc>
          <w:tcPr>
            <w:tcW w:w="2410" w:type="dxa"/>
            <w:shd w:val="clear" w:color="auto" w:fill="auto"/>
            <w:vAlign w:val="center"/>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命中及发射效果模拟装置</w:t>
            </w:r>
          </w:p>
        </w:tc>
        <w:tc>
          <w:tcPr>
            <w:tcW w:w="677" w:type="dxa"/>
            <w:shd w:val="clear" w:color="auto" w:fill="auto"/>
            <w:vAlign w:val="center"/>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1</w:t>
            </w:r>
          </w:p>
        </w:tc>
        <w:tc>
          <w:tcPr>
            <w:tcW w:w="976" w:type="dxa"/>
            <w:shd w:val="clear" w:color="auto" w:fill="auto"/>
            <w:vAlign w:val="center"/>
          </w:tcPr>
          <w:p>
            <w:pPr>
              <w:ind w:firstLine="0"/>
              <w:jc w:val="center"/>
              <w:rPr>
                <w:rFonts w:ascii="Calibri" w:hAnsi="Calibri" w:cs="Calibri"/>
                <w:sz w:val="21"/>
                <w:szCs w:val="21"/>
              </w:rPr>
            </w:pPr>
            <w:r>
              <w:rPr>
                <w:rFonts w:ascii="Calibri" w:hAnsi="Calibri" w:cs="Calibri"/>
                <w:sz w:val="21"/>
                <w:szCs w:val="21"/>
              </w:rPr>
              <w:t>个</w:t>
            </w:r>
          </w:p>
        </w:tc>
        <w:tc>
          <w:tcPr>
            <w:tcW w:w="4505" w:type="dxa"/>
            <w:tcBorders>
              <w:righ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5</w:t>
            </w:r>
          </w:p>
        </w:tc>
        <w:tc>
          <w:tcPr>
            <w:tcW w:w="2410" w:type="dxa"/>
            <w:shd w:val="clear" w:color="auto" w:fill="auto"/>
            <w:vAlign w:val="center"/>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电池</w:t>
            </w:r>
          </w:p>
        </w:tc>
        <w:tc>
          <w:tcPr>
            <w:tcW w:w="677" w:type="dxa"/>
            <w:shd w:val="clear" w:color="auto" w:fill="auto"/>
            <w:vAlign w:val="center"/>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2</w:t>
            </w:r>
          </w:p>
        </w:tc>
        <w:tc>
          <w:tcPr>
            <w:tcW w:w="976" w:type="dxa"/>
            <w:shd w:val="clear" w:color="auto" w:fill="auto"/>
            <w:vAlign w:val="center"/>
          </w:tcPr>
          <w:p>
            <w:pPr>
              <w:snapToGrid w:val="0"/>
              <w:ind w:firstLine="0"/>
              <w:jc w:val="center"/>
              <w:rPr>
                <w:rFonts w:ascii="Calibri" w:hAnsi="Calibri" w:cs="Calibri"/>
                <w:sz w:val="21"/>
                <w:szCs w:val="21"/>
              </w:rPr>
            </w:pPr>
            <w:r>
              <w:rPr>
                <w:rFonts w:ascii="Calibri" w:hAnsi="Calibri" w:cs="Calibri"/>
                <w:sz w:val="21"/>
                <w:szCs w:val="21"/>
              </w:rPr>
              <w:t>组</w:t>
            </w:r>
          </w:p>
        </w:tc>
        <w:tc>
          <w:tcPr>
            <w:tcW w:w="4505" w:type="dxa"/>
            <w:tcBorders>
              <w:right w:val="single" w:color="000000" w:sz="12" w:space="0"/>
            </w:tcBorders>
            <w:shd w:val="clear" w:color="auto" w:fill="auto"/>
            <w:vAlign w:val="center"/>
          </w:tcPr>
          <w:p>
            <w:pPr>
              <w:pStyle w:val="57"/>
              <w:spacing w:line="310" w:lineRule="exact"/>
              <w:ind w:right="-105" w:firstLine="0" w:firstLineChars="0"/>
              <w:rPr>
                <w:rFonts w:ascii="Calibri" w:hAnsi="Calibri" w:cs="Calibri"/>
                <w:sz w:val="21"/>
                <w:szCs w:val="21"/>
              </w:rPr>
            </w:pPr>
            <w:r>
              <w:rPr>
                <w:rFonts w:ascii="Calibri" w:hAnsi="Calibri" w:cs="Calibri"/>
                <w:sz w:val="21"/>
                <w:szCs w:val="21"/>
              </w:rPr>
              <w:t>电池型号14500和18650，含1组备用电池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6</w:t>
            </w:r>
          </w:p>
        </w:tc>
        <w:tc>
          <w:tcPr>
            <w:tcW w:w="2410" w:type="dxa"/>
            <w:shd w:val="clear" w:color="auto" w:fill="auto"/>
            <w:vAlign w:val="center"/>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14500电池充电器</w:t>
            </w:r>
          </w:p>
        </w:tc>
        <w:tc>
          <w:tcPr>
            <w:tcW w:w="677" w:type="dxa"/>
            <w:shd w:val="clear" w:color="auto" w:fill="auto"/>
            <w:vAlign w:val="center"/>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1/12</w:t>
            </w:r>
          </w:p>
        </w:tc>
        <w:tc>
          <w:tcPr>
            <w:tcW w:w="976" w:type="dxa"/>
            <w:shd w:val="clear" w:color="auto" w:fill="auto"/>
            <w:vAlign w:val="center"/>
          </w:tcPr>
          <w:p>
            <w:pPr>
              <w:snapToGrid w:val="0"/>
              <w:ind w:firstLine="0"/>
              <w:jc w:val="center"/>
              <w:rPr>
                <w:rFonts w:ascii="Calibri" w:hAnsi="Calibri" w:cs="Calibri"/>
                <w:sz w:val="21"/>
                <w:szCs w:val="21"/>
              </w:rPr>
            </w:pPr>
            <w:r>
              <w:rPr>
                <w:rFonts w:ascii="Calibri" w:hAnsi="Calibri" w:cs="Calibri"/>
                <w:sz w:val="21"/>
                <w:szCs w:val="21"/>
              </w:rPr>
              <w:t>个</w:t>
            </w:r>
          </w:p>
        </w:tc>
        <w:tc>
          <w:tcPr>
            <w:tcW w:w="4505" w:type="dxa"/>
            <w:tcBorders>
              <w:right w:val="single" w:color="000000" w:sz="12" w:space="0"/>
            </w:tcBorders>
            <w:shd w:val="clear" w:color="auto" w:fill="auto"/>
            <w:vAlign w:val="center"/>
          </w:tcPr>
          <w:p>
            <w:pPr>
              <w:pStyle w:val="57"/>
              <w:spacing w:line="310" w:lineRule="exact"/>
              <w:ind w:right="-105" w:firstLine="0" w:firstLineChars="0"/>
              <w:rPr>
                <w:rFonts w:ascii="Calibri" w:hAnsi="Calibri" w:cs="Calibri"/>
                <w:sz w:val="21"/>
                <w:szCs w:val="21"/>
              </w:rPr>
            </w:pPr>
            <w:r>
              <w:rPr>
                <w:rFonts w:ascii="Calibri" w:hAnsi="Calibri" w:cs="Calibri"/>
                <w:sz w:val="21"/>
                <w:szCs w:val="21"/>
              </w:rPr>
              <w:t>用于模拟弹电池充电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7</w:t>
            </w:r>
          </w:p>
        </w:tc>
        <w:tc>
          <w:tcPr>
            <w:tcW w:w="2410" w:type="dxa"/>
            <w:shd w:val="clear" w:color="auto" w:fill="auto"/>
            <w:vAlign w:val="center"/>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18650电池充电器</w:t>
            </w:r>
          </w:p>
        </w:tc>
        <w:tc>
          <w:tcPr>
            <w:tcW w:w="677" w:type="dxa"/>
            <w:shd w:val="clear" w:color="auto" w:fill="auto"/>
            <w:vAlign w:val="center"/>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1/4</w:t>
            </w:r>
          </w:p>
        </w:tc>
        <w:tc>
          <w:tcPr>
            <w:tcW w:w="976" w:type="dxa"/>
            <w:shd w:val="clear" w:color="auto" w:fill="auto"/>
            <w:vAlign w:val="center"/>
          </w:tcPr>
          <w:p>
            <w:pPr>
              <w:snapToGrid w:val="0"/>
              <w:ind w:firstLine="0"/>
              <w:jc w:val="center"/>
              <w:rPr>
                <w:rFonts w:ascii="Calibri" w:hAnsi="Calibri" w:cs="Calibri"/>
                <w:sz w:val="21"/>
                <w:szCs w:val="21"/>
              </w:rPr>
            </w:pPr>
            <w:r>
              <w:rPr>
                <w:rFonts w:ascii="Calibri" w:hAnsi="Calibri" w:cs="Calibri"/>
                <w:sz w:val="21"/>
                <w:szCs w:val="21"/>
              </w:rPr>
              <w:t>个</w:t>
            </w:r>
          </w:p>
        </w:tc>
        <w:tc>
          <w:tcPr>
            <w:tcW w:w="4505" w:type="dxa"/>
            <w:tcBorders>
              <w:right w:val="single" w:color="000000" w:sz="12" w:space="0"/>
            </w:tcBorders>
            <w:shd w:val="clear" w:color="auto" w:fill="auto"/>
            <w:vAlign w:val="center"/>
          </w:tcPr>
          <w:p>
            <w:pPr>
              <w:pStyle w:val="57"/>
              <w:spacing w:line="310" w:lineRule="exact"/>
              <w:ind w:right="-105" w:firstLine="0" w:firstLineChars="0"/>
              <w:rPr>
                <w:rFonts w:ascii="Calibri" w:hAnsi="Calibri" w:cs="Calibri"/>
                <w:sz w:val="21"/>
                <w:szCs w:val="21"/>
              </w:rPr>
            </w:pPr>
            <w:r>
              <w:rPr>
                <w:rFonts w:ascii="Calibri" w:hAnsi="Calibri" w:cs="Calibri"/>
                <w:sz w:val="21"/>
                <w:szCs w:val="21"/>
              </w:rPr>
              <w:t>用于控制主机电池充电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8</w:t>
            </w:r>
          </w:p>
        </w:tc>
        <w:tc>
          <w:tcPr>
            <w:tcW w:w="2410" w:type="dxa"/>
            <w:shd w:val="clear" w:color="auto" w:fill="auto"/>
            <w:vAlign w:val="center"/>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火工品</w:t>
            </w:r>
          </w:p>
        </w:tc>
        <w:tc>
          <w:tcPr>
            <w:tcW w:w="677" w:type="dxa"/>
            <w:shd w:val="clear" w:color="auto" w:fill="auto"/>
            <w:vAlign w:val="center"/>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2</w:t>
            </w:r>
          </w:p>
        </w:tc>
        <w:tc>
          <w:tcPr>
            <w:tcW w:w="976" w:type="dxa"/>
            <w:shd w:val="clear" w:color="auto" w:fill="auto"/>
            <w:vAlign w:val="center"/>
          </w:tcPr>
          <w:p>
            <w:pPr>
              <w:snapToGrid w:val="0"/>
              <w:ind w:firstLine="0"/>
              <w:jc w:val="center"/>
              <w:rPr>
                <w:rFonts w:ascii="Calibri" w:hAnsi="Calibri" w:cs="Calibri"/>
                <w:sz w:val="21"/>
                <w:szCs w:val="21"/>
              </w:rPr>
            </w:pPr>
            <w:r>
              <w:rPr>
                <w:rFonts w:ascii="Calibri" w:hAnsi="Calibri" w:cs="Calibri"/>
                <w:sz w:val="21"/>
                <w:szCs w:val="21"/>
              </w:rPr>
              <w:t>枚</w:t>
            </w:r>
          </w:p>
        </w:tc>
        <w:tc>
          <w:tcPr>
            <w:tcW w:w="4505" w:type="dxa"/>
            <w:tcBorders>
              <w:right w:val="single" w:color="000000" w:sz="12" w:space="0"/>
            </w:tcBorders>
            <w:shd w:val="clear" w:color="auto" w:fill="auto"/>
            <w:vAlign w:val="center"/>
          </w:tcPr>
          <w:p>
            <w:pPr>
              <w:pStyle w:val="57"/>
              <w:spacing w:line="310" w:lineRule="exact"/>
              <w:ind w:right="-105" w:firstLine="0" w:firstLineChars="0"/>
              <w:rPr>
                <w:rFonts w:ascii="Calibri" w:hAnsi="Calibri" w:cs="Calibri"/>
                <w:sz w:val="21"/>
                <w:szCs w:val="21"/>
              </w:rPr>
            </w:pPr>
            <w:r>
              <w:rPr>
                <w:rFonts w:ascii="Calibri" w:hAnsi="Calibri" w:cs="Calibri"/>
                <w:sz w:val="21"/>
                <w:szCs w:val="21"/>
              </w:rPr>
              <w:t>含</w:t>
            </w:r>
            <w:r>
              <w:rPr>
                <w:rFonts w:hint="eastAsia" w:hAnsi="宋体" w:cs="宋体"/>
                <w:sz w:val="21"/>
                <w:szCs w:val="21"/>
              </w:rPr>
              <w:t>Ⅰ</w:t>
            </w:r>
            <w:r>
              <w:rPr>
                <w:rFonts w:ascii="Calibri" w:hAnsi="Calibri" w:cs="Calibri"/>
                <w:sz w:val="21"/>
                <w:szCs w:val="21"/>
              </w:rPr>
              <w:t>型烟雾罐1枚，</w:t>
            </w:r>
            <w:r>
              <w:rPr>
                <w:rFonts w:hint="eastAsia" w:hAnsi="宋体" w:cs="宋体"/>
                <w:sz w:val="21"/>
                <w:szCs w:val="21"/>
              </w:rPr>
              <w:t>Ⅳ</w:t>
            </w:r>
            <w:r>
              <w:rPr>
                <w:rFonts w:ascii="Calibri" w:hAnsi="Calibri" w:cs="Calibri"/>
                <w:sz w:val="21"/>
                <w:szCs w:val="21"/>
              </w:rPr>
              <w:t>型声光弹1枚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9</w:t>
            </w:r>
          </w:p>
        </w:tc>
        <w:tc>
          <w:tcPr>
            <w:tcW w:w="2410" w:type="dxa"/>
            <w:shd w:val="clear" w:color="auto" w:fill="auto"/>
            <w:vAlign w:val="center"/>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产品包装箱</w:t>
            </w:r>
          </w:p>
        </w:tc>
        <w:tc>
          <w:tcPr>
            <w:tcW w:w="677" w:type="dxa"/>
            <w:shd w:val="clear" w:color="auto" w:fill="auto"/>
            <w:vAlign w:val="center"/>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1</w:t>
            </w:r>
          </w:p>
        </w:tc>
        <w:tc>
          <w:tcPr>
            <w:tcW w:w="976" w:type="dxa"/>
            <w:shd w:val="clear" w:color="auto" w:fill="auto"/>
            <w:vAlign w:val="center"/>
          </w:tcPr>
          <w:p>
            <w:pPr>
              <w:snapToGrid w:val="0"/>
              <w:ind w:firstLine="0"/>
              <w:jc w:val="center"/>
              <w:rPr>
                <w:rFonts w:ascii="Calibri" w:hAnsi="Calibri" w:cs="Calibri"/>
                <w:sz w:val="21"/>
                <w:szCs w:val="21"/>
              </w:rPr>
            </w:pPr>
            <w:r>
              <w:rPr>
                <w:rFonts w:ascii="Calibri" w:hAnsi="Calibri" w:cs="Calibri"/>
                <w:sz w:val="21"/>
                <w:szCs w:val="21"/>
              </w:rPr>
              <w:t>套</w:t>
            </w:r>
          </w:p>
        </w:tc>
        <w:tc>
          <w:tcPr>
            <w:tcW w:w="4505" w:type="dxa"/>
            <w:tcBorders>
              <w:right w:val="single" w:color="000000" w:sz="12" w:space="0"/>
            </w:tcBorders>
            <w:shd w:val="clear" w:color="auto" w:fill="auto"/>
            <w:vAlign w:val="center"/>
          </w:tcPr>
          <w:p>
            <w:pPr>
              <w:pStyle w:val="57"/>
              <w:spacing w:line="310" w:lineRule="exact"/>
              <w:ind w:right="-105" w:firstLine="0" w:firstLineChars="0"/>
              <w:rPr>
                <w:rFonts w:ascii="Calibri" w:hAnsi="Calibri" w:cs="Calibri"/>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10</w:t>
            </w:r>
          </w:p>
        </w:tc>
        <w:tc>
          <w:tcPr>
            <w:tcW w:w="2410" w:type="dxa"/>
            <w:shd w:val="clear" w:color="auto" w:fill="auto"/>
            <w:vAlign w:val="center"/>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运输包装箱</w:t>
            </w:r>
          </w:p>
        </w:tc>
        <w:tc>
          <w:tcPr>
            <w:tcW w:w="677" w:type="dxa"/>
            <w:shd w:val="clear" w:color="auto" w:fill="auto"/>
            <w:vAlign w:val="center"/>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1</w:t>
            </w:r>
          </w:p>
        </w:tc>
        <w:tc>
          <w:tcPr>
            <w:tcW w:w="976" w:type="dxa"/>
            <w:shd w:val="clear" w:color="auto" w:fill="auto"/>
            <w:vAlign w:val="center"/>
          </w:tcPr>
          <w:p>
            <w:pPr>
              <w:snapToGrid w:val="0"/>
              <w:ind w:firstLine="0"/>
              <w:jc w:val="center"/>
              <w:rPr>
                <w:rFonts w:ascii="Calibri" w:hAnsi="Calibri" w:cs="Calibri"/>
                <w:sz w:val="21"/>
                <w:szCs w:val="21"/>
              </w:rPr>
            </w:pPr>
            <w:r>
              <w:rPr>
                <w:rFonts w:ascii="Calibri" w:hAnsi="Calibri" w:cs="Calibri"/>
                <w:sz w:val="21"/>
                <w:szCs w:val="21"/>
              </w:rPr>
              <w:t>套</w:t>
            </w:r>
          </w:p>
        </w:tc>
        <w:tc>
          <w:tcPr>
            <w:tcW w:w="4505" w:type="dxa"/>
            <w:tcBorders>
              <w:right w:val="single" w:color="000000" w:sz="12" w:space="0"/>
            </w:tcBorders>
            <w:shd w:val="clear" w:color="auto" w:fill="auto"/>
            <w:vAlign w:val="center"/>
          </w:tcPr>
          <w:p>
            <w:pPr>
              <w:pStyle w:val="57"/>
              <w:spacing w:line="310" w:lineRule="exact"/>
              <w:ind w:right="-105" w:firstLine="0" w:firstLineChars="0"/>
              <w:rPr>
                <w:rFonts w:ascii="Calibri" w:hAnsi="Calibri" w:cs="Calibri"/>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33" w:type="dxa"/>
            <w:tcBorders>
              <w:left w:val="single" w:color="000000" w:sz="12" w:space="0"/>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11</w:t>
            </w:r>
          </w:p>
        </w:tc>
        <w:tc>
          <w:tcPr>
            <w:tcW w:w="2410" w:type="dxa"/>
            <w:tcBorders>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产品资料</w:t>
            </w:r>
          </w:p>
        </w:tc>
        <w:tc>
          <w:tcPr>
            <w:tcW w:w="677" w:type="dxa"/>
            <w:tcBorders>
              <w:bottom w:val="single" w:color="000000" w:sz="12" w:space="0"/>
            </w:tcBorders>
            <w:shd w:val="clear" w:color="auto" w:fill="auto"/>
            <w:vAlign w:val="center"/>
          </w:tcPr>
          <w:p>
            <w:pPr>
              <w:pStyle w:val="57"/>
              <w:spacing w:line="310" w:lineRule="exact"/>
              <w:ind w:right="-105" w:firstLine="0" w:firstLineChars="0"/>
              <w:jc w:val="center"/>
              <w:rPr>
                <w:rFonts w:ascii="Calibri" w:hAnsi="Calibri" w:cs="Calibri"/>
                <w:sz w:val="21"/>
                <w:szCs w:val="21"/>
              </w:rPr>
            </w:pPr>
            <w:r>
              <w:rPr>
                <w:rFonts w:ascii="Calibri" w:hAnsi="Calibri" w:cs="Calibri"/>
                <w:sz w:val="21"/>
                <w:szCs w:val="21"/>
              </w:rPr>
              <w:t>1</w:t>
            </w:r>
          </w:p>
        </w:tc>
        <w:tc>
          <w:tcPr>
            <w:tcW w:w="976" w:type="dxa"/>
            <w:tcBorders>
              <w:bottom w:val="single" w:color="000000" w:sz="12" w:space="0"/>
            </w:tcBorders>
            <w:shd w:val="clear" w:color="auto" w:fill="auto"/>
            <w:vAlign w:val="center"/>
          </w:tcPr>
          <w:p>
            <w:pPr>
              <w:snapToGrid w:val="0"/>
              <w:ind w:firstLine="0"/>
              <w:jc w:val="center"/>
              <w:rPr>
                <w:rFonts w:ascii="Calibri" w:hAnsi="Calibri" w:cs="Calibri"/>
                <w:sz w:val="21"/>
                <w:szCs w:val="21"/>
              </w:rPr>
            </w:pPr>
            <w:r>
              <w:rPr>
                <w:rFonts w:ascii="Calibri" w:hAnsi="Calibri" w:cs="Calibri"/>
                <w:sz w:val="21"/>
                <w:szCs w:val="21"/>
              </w:rPr>
              <w:t>套</w:t>
            </w:r>
          </w:p>
        </w:tc>
        <w:tc>
          <w:tcPr>
            <w:tcW w:w="4505" w:type="dxa"/>
            <w:tcBorders>
              <w:bottom w:val="single" w:color="000000" w:sz="12" w:space="0"/>
              <w:right w:val="single" w:color="000000" w:sz="12" w:space="0"/>
            </w:tcBorders>
            <w:shd w:val="clear" w:color="auto" w:fill="auto"/>
            <w:vAlign w:val="center"/>
          </w:tcPr>
          <w:p>
            <w:pPr>
              <w:pStyle w:val="57"/>
              <w:spacing w:line="310" w:lineRule="exact"/>
              <w:ind w:right="-105" w:firstLine="0" w:firstLineChars="0"/>
              <w:rPr>
                <w:rFonts w:ascii="Calibri" w:hAnsi="Calibri" w:cs="Calibri"/>
                <w:sz w:val="21"/>
                <w:szCs w:val="21"/>
              </w:rPr>
            </w:pPr>
            <w:r>
              <w:rPr>
                <w:rFonts w:ascii="Calibri" w:hAnsi="Calibri" w:cs="Calibri"/>
                <w:sz w:val="21"/>
                <w:szCs w:val="21"/>
              </w:rPr>
              <w:t>含使用说明书、合格证、装箱清单、履历表</w:t>
            </w:r>
          </w:p>
        </w:tc>
      </w:tr>
    </w:tbl>
    <w:p>
      <w:pPr>
        <w:pStyle w:val="46"/>
        <w:bidi w:val="0"/>
        <w:ind w:left="0" w:leftChars="0" w:firstLine="0" w:firstLineChars="0"/>
        <w:rPr>
          <w:rFonts w:hint="default"/>
          <w:lang w:val="en-US" w:eastAsia="zh-CN"/>
        </w:rPr>
      </w:pPr>
    </w:p>
    <w:sectPr>
      <w:headerReference r:id="rId3" w:type="default"/>
      <w:footerReference r:id="rId4" w:type="default"/>
      <w:pgSz w:w="11906" w:h="16838"/>
      <w:pgMar w:top="2098" w:right="1474" w:bottom="1984" w:left="1531"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00">
      <wne:acd wne:acdName="acd6"/>
    </wne:keymap>
  </wne:keymaps>
  <wne:acds>
    <wne:acd wne:argValue="AgBqAHAAAE6nfgdomJg=" wne:acdName="acd0" wne:fciIndexBasedOn="0065"/>
    <wne:acd wne:argValue="AgBqAHAAjE6nfgdomJg=" wne:acdName="acd1" wne:fciIndexBasedOn="0065"/>
    <wne:acd wne:argValue="AgBqAHAACU6nfgdomJg=" wne:acdName="acd2" wne:fciIndexBasedOn="0065"/>
    <wne:acd wne:argValue="AgBqAHAA21anfgdomJg=" wne:acdName="acd3" wne:fciIndexBasedOn="0065"/>
    <wne:acd wne:argValue="AgBqAHAAlE6nfgdomJg=" wne:acdName="acd4" wne:fciIndexBasedOn="0065"/>
    <wne:acd wne:argValue="AgBqAHAAbVGnfgdomJg=" wne:acdName="acd5" wne:fciIndexBasedOn="0065"/>
    <wne:acd wne:argValue="AgBqAHAAY2uHZeBlKX/bjw==" wne:acdName="acd6"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Consolas">
    <w:panose1 w:val="020B0609020204030204"/>
    <w:charset w:val="00"/>
    <w:family w:val="auto"/>
    <w:pitch w:val="default"/>
    <w:sig w:usb0="E10002FF" w:usb1="4000FCFF" w:usb2="00000009" w:usb3="00000000" w:csb0="6000019F" w:csb1="DFD7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048D3"/>
    <w:multiLevelType w:val="multilevel"/>
    <w:tmpl w:val="8A6048D3"/>
    <w:lvl w:ilvl="0" w:tentative="0">
      <w:start w:val="1"/>
      <w:numFmt w:val="decimal"/>
      <w:pStyle w:val="36"/>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pStyle w:val="28"/>
      <w:suff w:val="space"/>
      <w:lvlText w:val="%1.%2"/>
      <w:lvlJc w:val="left"/>
      <w:pPr>
        <w:tabs>
          <w:tab w:val="left" w:pos="0"/>
        </w:tabs>
        <w:ind w:left="0" w:firstLine="0"/>
      </w:pPr>
      <w:rPr>
        <w:rFonts w:hint="default" w:ascii="黑体" w:hAnsi="黑体" w:eastAsia="黑体" w:cs="宋体"/>
        <w:b/>
        <w:sz w:val="44"/>
      </w:rPr>
    </w:lvl>
    <w:lvl w:ilvl="2" w:tentative="0">
      <w:start w:val="1"/>
      <w:numFmt w:val="decimal"/>
      <w:pStyle w:val="30"/>
      <w:suff w:val="space"/>
      <w:lvlText w:val="%1.%2.%3"/>
      <w:lvlJc w:val="left"/>
      <w:pPr>
        <w:tabs>
          <w:tab w:val="left" w:pos="0"/>
        </w:tabs>
        <w:ind w:left="0" w:firstLine="0"/>
      </w:pPr>
      <w:rPr>
        <w:rFonts w:hint="default" w:ascii="黑体" w:hAnsi="黑体" w:eastAsia="黑体" w:cs="宋体"/>
        <w:b/>
        <w:sz w:val="32"/>
      </w:rPr>
    </w:lvl>
    <w:lvl w:ilvl="3" w:tentative="0">
      <w:start w:val="1"/>
      <w:numFmt w:val="decimal"/>
      <w:pStyle w:val="31"/>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pStyle w:val="33"/>
      <w:lvlText w:val="%1.%2.%3.%4.%5.%6"/>
      <w:lvlJc w:val="left"/>
      <w:pPr>
        <w:ind w:left="3260" w:hanging="1134"/>
      </w:pPr>
      <w:rPr>
        <w:rFonts w:hint="eastAsia"/>
      </w:rPr>
    </w:lvl>
    <w:lvl w:ilvl="6" w:tentative="0">
      <w:start w:val="1"/>
      <w:numFmt w:val="decimal"/>
      <w:pStyle w:val="34"/>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A5B6C179"/>
    <w:multiLevelType w:val="singleLevel"/>
    <w:tmpl w:val="A5B6C179"/>
    <w:lvl w:ilvl="0" w:tentative="0">
      <w:start w:val="1"/>
      <w:numFmt w:val="lowerLetter"/>
      <w:lvlText w:val="%1."/>
      <w:lvlJc w:val="left"/>
      <w:pPr>
        <w:ind w:left="425" w:hanging="425"/>
      </w:pPr>
      <w:rPr>
        <w:rFonts w:hint="default"/>
      </w:rPr>
    </w:lvl>
  </w:abstractNum>
  <w:abstractNum w:abstractNumId="2">
    <w:nsid w:val="A65BEC9C"/>
    <w:multiLevelType w:val="multilevel"/>
    <w:tmpl w:val="A65BEC9C"/>
    <w:lvl w:ilvl="0" w:tentative="0">
      <w:start w:val="1"/>
      <w:numFmt w:val="decimal"/>
      <w:pStyle w:val="27"/>
      <w:suff w:val="space"/>
      <w:lvlText w:val="%1"/>
      <w:lvlJc w:val="left"/>
      <w:pPr>
        <w:tabs>
          <w:tab w:val="left" w:pos="0"/>
        </w:tabs>
        <w:ind w:left="0" w:firstLine="0"/>
      </w:pPr>
      <w:rPr>
        <w:rFonts w:hint="default" w:ascii="宋体" w:hAnsi="宋体" w:eastAsia="宋体" w:cs="宋体"/>
      </w:rPr>
    </w:lvl>
    <w:lvl w:ilvl="1" w:tentative="0">
      <w:start w:val="1"/>
      <w:numFmt w:val="decimal"/>
      <w:suff w:val="space"/>
      <w:lvlText w:val="%1.%2."/>
      <w:lvlJc w:val="left"/>
      <w:pPr>
        <w:ind w:left="0" w:firstLine="0"/>
      </w:pPr>
      <w:rPr>
        <w:rFonts w:hint="default" w:ascii="宋体" w:hAnsi="宋体" w:eastAsia="宋体" w:cs="宋体"/>
      </w:rPr>
    </w:lvl>
    <w:lvl w:ilvl="2" w:tentative="0">
      <w:start w:val="1"/>
      <w:numFmt w:val="decimal"/>
      <w:suff w:val="space"/>
      <w:lvlText w:val="%1.%2.%3."/>
      <w:lvlJc w:val="left"/>
      <w:pPr>
        <w:ind w:left="0" w:firstLine="0"/>
      </w:pPr>
      <w:rPr>
        <w:rFonts w:hint="default" w:ascii="宋体" w:hAnsi="宋体" w:eastAsia="宋体" w:cs="宋体"/>
      </w:rPr>
    </w:lvl>
    <w:lvl w:ilvl="3" w:tentative="0">
      <w:start w:val="1"/>
      <w:numFmt w:val="decimal"/>
      <w:suff w:val="space"/>
      <w:lvlText w:val="%1.%2.%3.%4."/>
      <w:lvlJc w:val="left"/>
      <w:pPr>
        <w:ind w:left="0" w:firstLine="0"/>
      </w:pPr>
      <w:rPr>
        <w:rFonts w:hint="default" w:ascii="宋体" w:hAnsi="宋体" w:eastAsia="宋体" w:cs="宋体"/>
      </w:rPr>
    </w:lvl>
    <w:lvl w:ilvl="4" w:tentative="0">
      <w:start w:val="1"/>
      <w:numFmt w:val="decimal"/>
      <w:lvlText w:val="%1.%2.%3.%4.%5."/>
      <w:lvlJc w:val="left"/>
      <w:pPr>
        <w:tabs>
          <w:tab w:val="left" w:pos="420"/>
        </w:tabs>
        <w:ind w:left="0" w:firstLine="0"/>
      </w:pPr>
      <w:rPr>
        <w:rFonts w:hint="default" w:ascii="宋体" w:hAnsi="宋体" w:eastAsia="宋体" w:cs="宋体"/>
      </w:rPr>
    </w:lvl>
    <w:lvl w:ilvl="5" w:tentative="0">
      <w:start w:val="1"/>
      <w:numFmt w:val="decimal"/>
      <w:lvlText w:val="%1.%2.%3.%4.%5.%6"/>
      <w:lvlJc w:val="left"/>
      <w:pPr>
        <w:ind w:left="0" w:firstLine="0"/>
      </w:pPr>
      <w:rPr>
        <w:rFonts w:hint="default" w:ascii="宋体" w:hAnsi="宋体" w:eastAsia="宋体" w:cs="宋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default" w:ascii="宋体" w:hAnsi="宋体" w:eastAsia="宋体" w:cs="宋体"/>
      </w:rPr>
    </w:lvl>
    <w:lvl w:ilvl="8" w:tentative="0">
      <w:start w:val="1"/>
      <w:numFmt w:val="decimal"/>
      <w:lvlText w:val="%1.%2.%3.%4.%5.%6.%7.%8.%9"/>
      <w:lvlJc w:val="left"/>
      <w:pPr>
        <w:ind w:left="0" w:firstLine="0"/>
      </w:pPr>
      <w:rPr>
        <w:rFonts w:hint="default" w:ascii="宋体" w:hAnsi="宋体" w:eastAsia="宋体" w:cs="宋体"/>
      </w:rPr>
    </w:lvl>
  </w:abstractNum>
  <w:abstractNum w:abstractNumId="3">
    <w:nsid w:val="05814601"/>
    <w:multiLevelType w:val="multilevel"/>
    <w:tmpl w:val="05814601"/>
    <w:lvl w:ilvl="0" w:tentative="0">
      <w:start w:val="1"/>
      <w:numFmt w:val="none"/>
      <w:suff w:val="space"/>
      <w:lvlText w:val="%1"/>
      <w:lvlJc w:val="left"/>
      <w:pPr>
        <w:ind w:left="0" w:firstLine="0"/>
      </w:pPr>
      <w:rPr>
        <w:rFonts w:hint="default" w:ascii="Times New Roman" w:hAnsi="Times New Roman"/>
        <w:b/>
        <w:i w:val="0"/>
        <w:sz w:val="21"/>
      </w:rPr>
    </w:lvl>
    <w:lvl w:ilvl="1" w:tentative="0">
      <w:start w:val="1"/>
      <w:numFmt w:val="decimal"/>
      <w:pStyle w:val="77"/>
      <w:suff w:val="nothing"/>
      <w:lvlText w:val="%1%2　"/>
      <w:lvlJc w:val="left"/>
      <w:pPr>
        <w:ind w:left="0" w:firstLine="0"/>
      </w:pPr>
      <w:rPr>
        <w:rFonts w:hint="eastAsia" w:ascii="黑体" w:hAnsi="Times New Roman" w:eastAsia="黑体"/>
        <w:b w:val="0"/>
        <w:i w:val="0"/>
        <w:sz w:val="21"/>
        <w:szCs w:val="21"/>
      </w:rPr>
    </w:lvl>
    <w:lvl w:ilvl="2" w:tentative="0">
      <w:start w:val="1"/>
      <w:numFmt w:val="decimal"/>
      <w:pStyle w:val="7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tentative="0">
      <w:start w:val="1"/>
      <w:numFmt w:val="decimal"/>
      <w:suff w:val="nothing"/>
      <w:lvlText w:val="%1%2.%3.%4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kern w:val="0"/>
        <w:position w:val="0"/>
        <w:u w:val="none"/>
        <w:vertAlign w:val="baseline"/>
        <w14:shadow w14:blurRad="0" w14:dist="0" w14:dir="0" w14:sx="0" w14:sy="0" w14:kx="0" w14:ky="0" w14:algn="none">
          <w14:srgbClr w14:val="000000"/>
        </w14:shadow>
      </w:rPr>
    </w:lvl>
    <w:lvl w:ilvl="4" w:tentative="0">
      <w:start w:val="1"/>
      <w:numFmt w:val="decimal"/>
      <w:suff w:val="nothing"/>
      <w:lvlText w:val="%1%2.%3.%4.%5　"/>
      <w:lvlJc w:val="left"/>
      <w:pPr>
        <w:ind w:left="0" w:firstLine="0"/>
      </w:pPr>
      <w:rPr>
        <w:rFonts w:hint="eastAsia" w:ascii="黑体" w:hAnsi="Times New Roman" w:eastAsia="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suff w:val="space"/>
      <w:lvlText w:val="%1.%2.%3.%4.%5.%6.%7.%8　"/>
      <w:lvlJc w:val="left"/>
      <w:pPr>
        <w:ind w:left="0" w:firstLine="0"/>
      </w:pPr>
      <w:rPr>
        <w:rFonts w:hint="eastAsia"/>
      </w:rPr>
    </w:lvl>
    <w:lvl w:ilvl="8" w:tentative="0">
      <w:start w:val="1"/>
      <w:numFmt w:val="decimal"/>
      <w:suff w:val="space"/>
      <w:lvlText w:val="%1.%2.%3.%4.%5.%6.%7.%8.%9　"/>
      <w:lvlJc w:val="left"/>
      <w:pPr>
        <w:ind w:left="0" w:firstLine="0"/>
      </w:pPr>
      <w:rPr>
        <w:rFonts w:hint="eastAsia"/>
      </w:rPr>
    </w:lvl>
  </w:abstractNum>
  <w:abstractNum w:abstractNumId="4">
    <w:nsid w:val="1D179757"/>
    <w:multiLevelType w:val="singleLevel"/>
    <w:tmpl w:val="1D179757"/>
    <w:lvl w:ilvl="0" w:tentative="0">
      <w:start w:val="1"/>
      <w:numFmt w:val="bullet"/>
      <w:lvlText w:val=""/>
      <w:lvlJc w:val="left"/>
      <w:pPr>
        <w:ind w:left="420" w:hanging="420"/>
      </w:pPr>
      <w:rPr>
        <w:rFonts w:hint="default" w:ascii="Wingdings" w:hAnsi="Wingdings"/>
      </w:rPr>
    </w:lvl>
  </w:abstractNum>
  <w:abstractNum w:abstractNumId="5">
    <w:nsid w:val="20F16A82"/>
    <w:multiLevelType w:val="multilevel"/>
    <w:tmpl w:val="20F16A82"/>
    <w:lvl w:ilvl="0" w:tentative="0">
      <w:start w:val="1"/>
      <w:numFmt w:val="decimal"/>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suff w:val="space"/>
      <w:lvlText w:val="%1.%2"/>
      <w:lvlJc w:val="left"/>
      <w:pPr>
        <w:tabs>
          <w:tab w:val="left" w:pos="0"/>
        </w:tabs>
        <w:ind w:left="0" w:firstLine="0"/>
      </w:pPr>
      <w:rPr>
        <w:rFonts w:hint="default" w:ascii="黑体" w:hAnsi="黑体" w:eastAsia="黑体" w:cs="宋体"/>
        <w:b/>
        <w:sz w:val="44"/>
      </w:rPr>
    </w:lvl>
    <w:lvl w:ilvl="2" w:tentative="0">
      <w:start w:val="1"/>
      <w:numFmt w:val="decimal"/>
      <w:suff w:val="space"/>
      <w:lvlText w:val="%1.%2.%3"/>
      <w:lvlJc w:val="left"/>
      <w:pPr>
        <w:tabs>
          <w:tab w:val="left" w:pos="0"/>
        </w:tabs>
        <w:ind w:left="0" w:firstLine="0"/>
      </w:pPr>
      <w:rPr>
        <w:rFonts w:hint="default" w:ascii="黑体" w:hAnsi="黑体" w:eastAsia="黑体" w:cs="宋体"/>
        <w:b/>
        <w:sz w:val="32"/>
      </w:rPr>
    </w:lvl>
    <w:lvl w:ilvl="3" w:tentative="0">
      <w:start w:val="1"/>
      <w:numFmt w:val="decimal"/>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pStyle w:val="32"/>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2912FDE1"/>
    <w:multiLevelType w:val="multilevel"/>
    <w:tmpl w:val="2912FDE1"/>
    <w:lvl w:ilvl="0" w:tentative="0">
      <w:start w:val="1"/>
      <w:numFmt w:val="chineseCounting"/>
      <w:pStyle w:val="29"/>
      <w:suff w:val="nothing"/>
      <w:lvlText w:val="%1、"/>
      <w:lvlJc w:val="left"/>
      <w:pPr>
        <w:tabs>
          <w:tab w:val="left" w:pos="0"/>
        </w:tabs>
        <w:ind w:left="0" w:firstLine="400"/>
      </w:pPr>
      <w:rPr>
        <w:rFonts w:hint="eastAsia" w:ascii="黑体" w:hAnsi="黑体" w:eastAsia="黑体" w:cs="宋体"/>
      </w:rPr>
    </w:lvl>
    <w:lvl w:ilvl="1" w:tentative="0">
      <w:start w:val="1"/>
      <w:numFmt w:val="decimal"/>
      <w:pStyle w:val="35"/>
      <w:isLgl/>
      <w:suff w:val="nothing"/>
      <w:lvlText w:val="%1.%2 "/>
      <w:lvlJc w:val="left"/>
      <w:pPr>
        <w:tabs>
          <w:tab w:val="left" w:pos="0"/>
        </w:tabs>
        <w:ind w:left="0" w:firstLine="0"/>
      </w:pPr>
      <w:rPr>
        <w:rFonts w:hint="eastAsia" w:ascii="黑体" w:hAnsi="黑体" w:eastAsia="黑体" w:cs="宋体"/>
        <w:b/>
        <w:sz w:val="36"/>
      </w:rPr>
    </w:lvl>
    <w:lvl w:ilvl="2" w:tentative="0">
      <w:start w:val="1"/>
      <w:numFmt w:val="decimal"/>
      <w:pStyle w:val="37"/>
      <w:isLgl/>
      <w:suff w:val="nothing"/>
      <w:lvlText w:val="%1.%2.%3 "/>
      <w:lvlJc w:val="left"/>
      <w:pPr>
        <w:tabs>
          <w:tab w:val="left" w:pos="0"/>
        </w:tabs>
        <w:ind w:left="0" w:firstLine="0"/>
      </w:pPr>
      <w:rPr>
        <w:rFonts w:hint="eastAsia" w:ascii="黑体" w:hAnsi="黑体" w:eastAsia="黑体" w:cs="宋体"/>
        <w:b/>
        <w:sz w:val="32"/>
      </w:rPr>
    </w:lvl>
    <w:lvl w:ilvl="3" w:tentative="0">
      <w:start w:val="1"/>
      <w:numFmt w:val="decimal"/>
      <w:pStyle w:val="38"/>
      <w:isLgl/>
      <w:suff w:val="nothing"/>
      <w:lvlText w:val="%1.%2.%3.%4 "/>
      <w:lvlJc w:val="left"/>
      <w:pPr>
        <w:tabs>
          <w:tab w:val="left" w:pos="0"/>
        </w:tabs>
        <w:ind w:left="0" w:firstLine="0"/>
      </w:pPr>
      <w:rPr>
        <w:rFonts w:hint="eastAsia" w:ascii="黑体" w:hAnsi="黑体" w:eastAsia="黑体" w:cs="黑体"/>
        <w:b/>
        <w:sz w:val="28"/>
        <w:szCs w:val="28"/>
      </w:rPr>
    </w:lvl>
    <w:lvl w:ilvl="4" w:tentative="0">
      <w:start w:val="1"/>
      <w:numFmt w:val="decimal"/>
      <w:pStyle w:val="39"/>
      <w:isLgl/>
      <w:suff w:val="nothing"/>
      <w:lvlText w:val="%1.%2.%3.%4.%5"/>
      <w:lvlJc w:val="left"/>
      <w:pPr>
        <w:tabs>
          <w:tab w:val="left" w:pos="0"/>
        </w:tabs>
        <w:ind w:left="0" w:firstLine="0"/>
      </w:pPr>
      <w:rPr>
        <w:rFonts w:hint="eastAsia" w:ascii="黑体" w:hAnsi="黑体" w:eastAsia="黑体" w:cs="宋体"/>
        <w:b/>
        <w:sz w:val="28"/>
      </w:rPr>
    </w:lvl>
    <w:lvl w:ilvl="5" w:tentative="0">
      <w:start w:val="1"/>
      <w:numFmt w:val="decimalFullWidth"/>
      <w:pStyle w:val="41"/>
      <w:isLgl/>
      <w:suff w:val="nothing"/>
      <w:lvlText w:val="%1.%2.%3.%4.%5.%6"/>
      <w:lvlJc w:val="left"/>
      <w:pPr>
        <w:tabs>
          <w:tab w:val="left" w:pos="0"/>
        </w:tabs>
        <w:ind w:left="0" w:firstLine="0"/>
      </w:pPr>
      <w:rPr>
        <w:rFonts w:hint="eastAsia" w:ascii="黑体" w:hAnsi="黑体" w:eastAsia="黑体" w:cs="宋体"/>
        <w:b/>
        <w:sz w:val="28"/>
      </w:rPr>
    </w:lvl>
    <w:lvl w:ilvl="6" w:tentative="0">
      <w:start w:val="1"/>
      <w:numFmt w:val="decimalFullWidth"/>
      <w:isLgl/>
      <w:suff w:val="nothing"/>
      <w:lvlText w:val="%1.%2.%3.%4.%5.%6.%7"/>
      <w:lvlJc w:val="left"/>
      <w:pPr>
        <w:ind w:left="0" w:firstLine="402"/>
      </w:pPr>
      <w:rPr>
        <w:rFonts w:hint="eastAsia" w:ascii="宋体" w:hAnsi="宋体" w:eastAsia="宋体" w:cs="宋体"/>
      </w:rPr>
    </w:lvl>
    <w:lvl w:ilvl="7" w:tentative="0">
      <w:start w:val="1"/>
      <w:numFmt w:val="decimal"/>
      <w:isLgl/>
      <w:suff w:val="nothing"/>
      <w:lvlText w:val="%1.%2.%3.%4.%5.%6.%7.%8"/>
      <w:lvlJc w:val="left"/>
      <w:pPr>
        <w:ind w:left="0" w:firstLine="402"/>
      </w:pPr>
      <w:rPr>
        <w:rFonts w:hint="eastAsia" w:ascii="宋体" w:hAnsi="宋体" w:eastAsia="宋体" w:cs="宋体"/>
      </w:rPr>
    </w:lvl>
    <w:lvl w:ilvl="8" w:tentative="0">
      <w:start w:val="1"/>
      <w:numFmt w:val="decimalFullWidth"/>
      <w:isLgl/>
      <w:suff w:val="nothing"/>
      <w:lvlText w:val="%1.%2.%3.%4.%5.%6.%7.%8.%9"/>
      <w:lvlJc w:val="left"/>
      <w:pPr>
        <w:ind w:left="0" w:firstLine="402"/>
      </w:pPr>
      <w:rPr>
        <w:rFonts w:hint="eastAsia" w:ascii="宋体" w:hAnsi="宋体" w:eastAsia="宋体" w:cs="宋体"/>
      </w:rPr>
    </w:lvl>
  </w:abstractNum>
  <w:abstractNum w:abstractNumId="7">
    <w:nsid w:val="2BEF774F"/>
    <w:multiLevelType w:val="multilevel"/>
    <w:tmpl w:val="2BEF774F"/>
    <w:lvl w:ilvl="0" w:tentative="0">
      <w:start w:val="1"/>
      <w:numFmt w:val="decimal"/>
      <w:suff w:val="space"/>
      <w:lvlText w:val="%1."/>
      <w:lvlJc w:val="left"/>
      <w:pPr>
        <w:tabs>
          <w:tab w:val="left" w:pos="0"/>
        </w:tabs>
        <w:ind w:left="0" w:firstLine="0"/>
      </w:pPr>
      <w:rPr>
        <w:rFonts w:hint="default"/>
      </w:rPr>
    </w:lvl>
    <w:lvl w:ilvl="1" w:tentative="0">
      <w:start w:val="1"/>
      <w:numFmt w:val="decimal"/>
      <w:pStyle w:val="8"/>
      <w:suff w:val="space"/>
      <w:lvlText w:val="2.%2."/>
      <w:lvlJc w:val="left"/>
      <w:pPr>
        <w:ind w:left="0" w:firstLine="0"/>
      </w:pPr>
      <w:rPr>
        <w:rFonts w:hint="default" w:ascii="宋体" w:hAnsi="宋体" w:eastAsia="宋体" w:cs="宋体"/>
      </w:rPr>
    </w:lvl>
    <w:lvl w:ilvl="2" w:tentative="0">
      <w:start w:val="1"/>
      <w:numFmt w:val="decimal"/>
      <w:pStyle w:val="9"/>
      <w:suff w:val="space"/>
      <w:lvlText w:val="%1.%2.%3."/>
      <w:lvlJc w:val="left"/>
      <w:pPr>
        <w:ind w:left="0" w:firstLine="0"/>
      </w:pPr>
      <w:rPr>
        <w:rFonts w:hint="eastAsia"/>
      </w:rPr>
    </w:lvl>
    <w:lvl w:ilvl="3" w:tentative="0">
      <w:start w:val="1"/>
      <w:numFmt w:val="decimal"/>
      <w:pStyle w:val="10"/>
      <w:suff w:val="space"/>
      <w:lvlText w:val="%1.%2.%3.%4."/>
      <w:lvlJc w:val="left"/>
      <w:pPr>
        <w:ind w:left="0" w:firstLine="0"/>
      </w:pPr>
      <w:rPr>
        <w:rFonts w:hint="eastAsia"/>
      </w:rPr>
    </w:lvl>
    <w:lvl w:ilvl="4" w:tentative="0">
      <w:start w:val="1"/>
      <w:numFmt w:val="decimal"/>
      <w:pStyle w:val="11"/>
      <w:lvlText w:val="%1.%2.%3.%4.%5."/>
      <w:lvlJc w:val="left"/>
      <w:pPr>
        <w:ind w:left="0" w:firstLine="0"/>
      </w:pPr>
      <w:rPr>
        <w:rFonts w:hint="eastAsia"/>
      </w:rPr>
    </w:lvl>
    <w:lvl w:ilvl="5" w:tentative="0">
      <w:start w:val="1"/>
      <w:numFmt w:val="decimal"/>
      <w:pStyle w:val="12"/>
      <w:lvlText w:val="%1.%2.%3.%4.%5.%6"/>
      <w:lvlJc w:val="left"/>
      <w:pPr>
        <w:ind w:left="0" w:firstLine="0"/>
      </w:pPr>
      <w:rPr>
        <w:rFonts w:hint="eastAsia"/>
      </w:rPr>
    </w:lvl>
    <w:lvl w:ilvl="6" w:tentative="0">
      <w:start w:val="1"/>
      <w:numFmt w:val="decimal"/>
      <w:pStyle w:val="13"/>
      <w:lvlText w:val="%1.%2.%3.%4.%5.%6.%7"/>
      <w:lvlJc w:val="left"/>
      <w:pPr>
        <w:ind w:left="0" w:firstLine="0"/>
      </w:pPr>
      <w:rPr>
        <w:rFonts w:hint="eastAsia"/>
      </w:rPr>
    </w:lvl>
    <w:lvl w:ilvl="7" w:tentative="0">
      <w:start w:val="1"/>
      <w:numFmt w:val="decimal"/>
      <w:pStyle w:val="14"/>
      <w:lvlText w:val="%1.%2.%3.%4.%5.%6.%7.%8"/>
      <w:lvlJc w:val="left"/>
      <w:pPr>
        <w:ind w:left="0" w:firstLine="0"/>
      </w:pPr>
      <w:rPr>
        <w:rFonts w:hint="eastAsia"/>
      </w:rPr>
    </w:lvl>
    <w:lvl w:ilvl="8" w:tentative="0">
      <w:start w:val="1"/>
      <w:numFmt w:val="decimal"/>
      <w:pStyle w:val="15"/>
      <w:lvlText w:val="%1.%2.%3.%4.%5.%6.%7.%8.%9"/>
      <w:lvlJc w:val="left"/>
      <w:pPr>
        <w:ind w:left="0" w:firstLine="0"/>
      </w:pPr>
      <w:rPr>
        <w:rFonts w:hint="eastAsia"/>
      </w:rPr>
    </w:lvl>
  </w:abstractNum>
  <w:abstractNum w:abstractNumId="8">
    <w:nsid w:val="2C1E454C"/>
    <w:multiLevelType w:val="singleLevel"/>
    <w:tmpl w:val="2C1E454C"/>
    <w:lvl w:ilvl="0" w:tentative="0">
      <w:start w:val="1"/>
      <w:numFmt w:val="lowerLetter"/>
      <w:lvlText w:val="%1)"/>
      <w:lvlJc w:val="left"/>
      <w:pPr>
        <w:tabs>
          <w:tab w:val="left" w:pos="800"/>
        </w:tabs>
        <w:ind w:left="800" w:hanging="400"/>
      </w:pPr>
    </w:lvl>
  </w:abstractNum>
  <w:abstractNum w:abstractNumId="9">
    <w:nsid w:val="303D5007"/>
    <w:multiLevelType w:val="singleLevel"/>
    <w:tmpl w:val="303D5007"/>
    <w:lvl w:ilvl="0" w:tentative="0">
      <w:start w:val="1"/>
      <w:numFmt w:val="lowerLetter"/>
      <w:lvlText w:val="%1)"/>
      <w:lvlJc w:val="left"/>
      <w:pPr>
        <w:tabs>
          <w:tab w:val="left" w:pos="800"/>
        </w:tabs>
        <w:ind w:left="800" w:hanging="400"/>
      </w:pPr>
    </w:lvl>
  </w:abstractNum>
  <w:abstractNum w:abstractNumId="10">
    <w:nsid w:val="32F7596C"/>
    <w:multiLevelType w:val="singleLevel"/>
    <w:tmpl w:val="32F7596C"/>
    <w:lvl w:ilvl="0" w:tentative="0">
      <w:start w:val="1"/>
      <w:numFmt w:val="lowerLetter"/>
      <w:lvlText w:val="%1)"/>
      <w:lvlJc w:val="left"/>
      <w:pPr>
        <w:tabs>
          <w:tab w:val="left" w:pos="826"/>
        </w:tabs>
        <w:ind w:left="826" w:hanging="400"/>
      </w:pPr>
    </w:lvl>
  </w:abstractNum>
  <w:abstractNum w:abstractNumId="11">
    <w:nsid w:val="37C717AC"/>
    <w:multiLevelType w:val="multilevel"/>
    <w:tmpl w:val="37C717AC"/>
    <w:lvl w:ilvl="0" w:tentative="0">
      <w:start w:val="8"/>
      <w:numFmt w:val="decimal"/>
      <w:suff w:val="space"/>
      <w:lvlText w:val="%1"/>
      <w:lvlJc w:val="left"/>
      <w:pPr>
        <w:ind w:left="0" w:firstLine="0"/>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suff w:val="space"/>
      <w:lvlText w:val="7.%2"/>
      <w:lvlJc w:val="left"/>
      <w:pPr>
        <w:ind w:left="0" w:firstLine="0"/>
      </w:pPr>
      <w:rPr>
        <w:rFonts w:hint="eastAsia" w:ascii="Times New Roman" w:hAnsi="Times New Roman" w:cs="Times New Roman"/>
        <w:b w:val="0"/>
        <w:bCs w:val="0"/>
        <w:i w:val="0"/>
        <w:iCs w:val="0"/>
        <w:caps w:val="0"/>
        <w:smallCaps w:val="0"/>
        <w:strike w:val="0"/>
        <w:dstrike w:val="0"/>
        <w:vanish w:val="0"/>
        <w:spacing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suff w:val="space"/>
      <w:lvlText w:val="7.%2.%3"/>
      <w:lvlJc w:val="left"/>
      <w:pPr>
        <w:ind w:left="142" w:firstLine="0"/>
      </w:pPr>
      <w:rPr>
        <w:rFonts w:hint="eastAsia" w:ascii="Times New Roman" w:hAnsi="Times New Roman" w:eastAsia="宋体" w:cs="Times New Roman"/>
        <w:b w:val="0"/>
        <w:bCs w:val="0"/>
        <w:i w:val="0"/>
        <w:iCs w:val="0"/>
        <w:caps w:val="0"/>
        <w:smallCaps w:val="0"/>
        <w:strike w:val="0"/>
        <w:dstrike w:val="0"/>
        <w:snapToGrid w:val="0"/>
        <w:vanish w:val="0"/>
        <w:color w:val="000000"/>
        <w:spacing w:val="0"/>
        <w:w w:val="0"/>
        <w:kern w:val="0"/>
        <w:position w:val="0"/>
        <w:sz w:val="28"/>
        <w:szCs w:val="28"/>
        <w:u w:val="none"/>
        <w:vertAlign w:val="baseline"/>
      </w:rPr>
    </w:lvl>
    <w:lvl w:ilvl="3" w:tentative="0">
      <w:start w:val="1"/>
      <w:numFmt w:val="decimal"/>
      <w:pStyle w:val="61"/>
      <w:suff w:val="space"/>
      <w:lvlText w:val="7.%2.%3.%4"/>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suff w:val="space"/>
      <w:lvlText w:val="7.%2.%3.%4.%5"/>
      <w:lvlJc w:val="left"/>
      <w:pPr>
        <w:ind w:left="0" w:firstLine="0"/>
      </w:pPr>
      <w:rPr>
        <w:rFonts w:hint="default" w:ascii="Times New Roman" w:hAnsi="Times New Roman" w:cs="Times New Roman"/>
        <w:color w:val="auto"/>
        <w:spacing w:val="0"/>
        <w:w w:val="100"/>
        <w:position w:val="0"/>
        <w:sz w:val="24"/>
        <w:szCs w:val="24"/>
        <w:u w:val="none"/>
      </w:rPr>
    </w:lvl>
    <w:lvl w:ilvl="5" w:tentative="0">
      <w:start w:val="1"/>
      <w:numFmt w:val="decimal"/>
      <w:lvlText w:val="7.%2.%3.%4.%5.%6"/>
      <w:lvlJc w:val="left"/>
      <w:pPr>
        <w:tabs>
          <w:tab w:val="left" w:pos="1152"/>
        </w:tabs>
        <w:ind w:left="0" w:firstLine="0"/>
      </w:pPr>
      <w:rPr>
        <w:rFonts w:hint="eastAsia"/>
      </w:rPr>
    </w:lvl>
    <w:lvl w:ilvl="6" w:tentative="0">
      <w:start w:val="1"/>
      <w:numFmt w:val="decimal"/>
      <w:lvlText w:val="%1.%2.%3.%4.%5.%6.%7"/>
      <w:lvlJc w:val="left"/>
      <w:pPr>
        <w:tabs>
          <w:tab w:val="left" w:pos="1296"/>
        </w:tabs>
        <w:ind w:left="0" w:firstLine="0"/>
      </w:pPr>
      <w:rPr>
        <w:rFonts w:hint="eastAsia"/>
      </w:rPr>
    </w:lvl>
    <w:lvl w:ilvl="7" w:tentative="0">
      <w:start w:val="1"/>
      <w:numFmt w:val="decimal"/>
      <w:lvlText w:val="%1.%2.%3.%4.%5.%6.%7.%8"/>
      <w:lvlJc w:val="left"/>
      <w:pPr>
        <w:tabs>
          <w:tab w:val="left" w:pos="1440"/>
        </w:tabs>
        <w:ind w:left="0" w:firstLine="0"/>
      </w:pPr>
      <w:rPr>
        <w:rFonts w:hint="eastAsia"/>
      </w:rPr>
    </w:lvl>
    <w:lvl w:ilvl="8" w:tentative="0">
      <w:start w:val="1"/>
      <w:numFmt w:val="decimal"/>
      <w:lvlText w:val="%1.%2.%3.%4.%5.%6.%7.%8.%9"/>
      <w:lvlJc w:val="left"/>
      <w:pPr>
        <w:tabs>
          <w:tab w:val="left" w:pos="1584"/>
        </w:tabs>
        <w:ind w:left="0" w:firstLine="0"/>
      </w:pPr>
      <w:rPr>
        <w:rFonts w:hint="eastAsia"/>
      </w:rPr>
    </w:lvl>
  </w:abstractNum>
  <w:abstractNum w:abstractNumId="12">
    <w:nsid w:val="41AC317E"/>
    <w:multiLevelType w:val="singleLevel"/>
    <w:tmpl w:val="41AC317E"/>
    <w:lvl w:ilvl="0" w:tentative="0">
      <w:start w:val="1"/>
      <w:numFmt w:val="lowerLetter"/>
      <w:lvlText w:val="%1)"/>
      <w:lvlJc w:val="left"/>
      <w:pPr>
        <w:tabs>
          <w:tab w:val="left" w:pos="800"/>
        </w:tabs>
        <w:ind w:left="800" w:hanging="400"/>
      </w:pPr>
    </w:lvl>
  </w:abstractNum>
  <w:abstractNum w:abstractNumId="13">
    <w:nsid w:val="4D6D17FE"/>
    <w:multiLevelType w:val="singleLevel"/>
    <w:tmpl w:val="4D6D17FE"/>
    <w:lvl w:ilvl="0" w:tentative="0">
      <w:start w:val="1"/>
      <w:numFmt w:val="lowerLetter"/>
      <w:lvlText w:val="%1)"/>
      <w:lvlJc w:val="left"/>
      <w:pPr>
        <w:tabs>
          <w:tab w:val="left" w:pos="800"/>
        </w:tabs>
        <w:ind w:left="800" w:hanging="400"/>
      </w:pPr>
    </w:lvl>
  </w:abstractNum>
  <w:abstractNum w:abstractNumId="14">
    <w:nsid w:val="4EE15631"/>
    <w:multiLevelType w:val="multilevel"/>
    <w:tmpl w:val="4EE15631"/>
    <w:lvl w:ilvl="0" w:tentative="0">
      <w:start w:val="1"/>
      <w:numFmt w:val="decimal"/>
      <w:suff w:val="space"/>
      <w:lvlText w:val="%1"/>
      <w:lvlJc w:val="left"/>
      <w:pPr>
        <w:ind w:left="993"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67"/>
      <w:suff w:val="space"/>
      <w:lvlText w:val="%1.%2.%3"/>
      <w:lvlJc w:val="left"/>
      <w:pPr>
        <w:ind w:left="0" w:firstLine="0"/>
      </w:pPr>
      <w:rPr>
        <w:rFonts w:hint="eastAsia"/>
      </w:rPr>
    </w:lvl>
    <w:lvl w:ilvl="3" w:tentative="0">
      <w:start w:val="1"/>
      <w:numFmt w:val="decimal"/>
      <w:pStyle w:val="68"/>
      <w:suff w:val="space"/>
      <w:lvlText w:val="%1.%2.%3.%4"/>
      <w:lvlJc w:val="left"/>
      <w:pPr>
        <w:ind w:left="0" w:firstLine="0"/>
      </w:pPr>
      <w:rPr>
        <w:rFonts w:hint="eastAsia"/>
        <w:b w:val="0"/>
        <w:bCs w:val="0"/>
        <w:i w:val="0"/>
        <w:iCs w:val="0"/>
        <w:caps w:val="0"/>
        <w:smallCaps w:val="0"/>
        <w:strike w:val="0"/>
        <w:dstrike w:val="0"/>
        <w:vanish w:val="0"/>
        <w:spacing w:val="0"/>
        <w:position w:val="0"/>
        <w:u w:val="none"/>
        <w:vertAlign w:val="baseline"/>
      </w:rPr>
    </w:lvl>
    <w:lvl w:ilvl="4" w:tentative="0">
      <w:start w:val="1"/>
      <w:numFmt w:val="decimal"/>
      <w:pStyle w:val="73"/>
      <w:lvlText w:val="%1.%2.%3.%4.%5"/>
      <w:lvlJc w:val="left"/>
      <w:pPr>
        <w:ind w:left="2551" w:hanging="850"/>
      </w:pPr>
      <w:rPr>
        <w:rFonts w:hint="eastAsia"/>
        <w:b w:val="0"/>
        <w:bCs w:val="0"/>
        <w:i w:val="0"/>
        <w:iCs w:val="0"/>
        <w:caps w:val="0"/>
        <w:smallCaps w:val="0"/>
        <w:strike w:val="0"/>
        <w:dstrike w:val="0"/>
        <w:vanish w:val="0"/>
        <w:spacing w:val="0"/>
        <w:position w:val="0"/>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50713E12"/>
    <w:multiLevelType w:val="singleLevel"/>
    <w:tmpl w:val="50713E12"/>
    <w:lvl w:ilvl="0" w:tentative="0">
      <w:start w:val="1"/>
      <w:numFmt w:val="lowerLetter"/>
      <w:lvlText w:val="%1)"/>
      <w:lvlJc w:val="left"/>
      <w:pPr>
        <w:tabs>
          <w:tab w:val="left" w:pos="800"/>
        </w:tabs>
        <w:ind w:left="800" w:hanging="400"/>
      </w:pPr>
    </w:lvl>
  </w:abstractNum>
  <w:abstractNum w:abstractNumId="16">
    <w:nsid w:val="5A7E55D2"/>
    <w:multiLevelType w:val="singleLevel"/>
    <w:tmpl w:val="5A7E55D2"/>
    <w:lvl w:ilvl="0" w:tentative="0">
      <w:start w:val="1"/>
      <w:numFmt w:val="lowerLetter"/>
      <w:lvlText w:val="%1)"/>
      <w:lvlJc w:val="left"/>
      <w:pPr>
        <w:tabs>
          <w:tab w:val="left" w:pos="800"/>
        </w:tabs>
        <w:ind w:left="800" w:hanging="400"/>
      </w:pPr>
    </w:lvl>
  </w:abstractNum>
  <w:abstractNum w:abstractNumId="17">
    <w:nsid w:val="653D1018"/>
    <w:multiLevelType w:val="singleLevel"/>
    <w:tmpl w:val="653D1018"/>
    <w:lvl w:ilvl="0" w:tentative="0">
      <w:start w:val="1"/>
      <w:numFmt w:val="lowerLetter"/>
      <w:lvlText w:val="%1)"/>
      <w:lvlJc w:val="left"/>
      <w:pPr>
        <w:tabs>
          <w:tab w:val="left" w:pos="826"/>
        </w:tabs>
        <w:ind w:left="826" w:hanging="400"/>
      </w:pPr>
    </w:lvl>
  </w:abstractNum>
  <w:abstractNum w:abstractNumId="18">
    <w:nsid w:val="68252847"/>
    <w:multiLevelType w:val="singleLevel"/>
    <w:tmpl w:val="68252847"/>
    <w:lvl w:ilvl="0" w:tentative="0">
      <w:start w:val="1"/>
      <w:numFmt w:val="lowerLetter"/>
      <w:lvlText w:val="%1)"/>
      <w:lvlJc w:val="left"/>
      <w:pPr>
        <w:tabs>
          <w:tab w:val="left" w:pos="800"/>
        </w:tabs>
        <w:ind w:left="800" w:hanging="400"/>
      </w:pPr>
    </w:lvl>
  </w:abstractNum>
  <w:abstractNum w:abstractNumId="19">
    <w:nsid w:val="6A813476"/>
    <w:multiLevelType w:val="singleLevel"/>
    <w:tmpl w:val="6A813476"/>
    <w:lvl w:ilvl="0" w:tentative="0">
      <w:start w:val="1"/>
      <w:numFmt w:val="lowerLetter"/>
      <w:lvlText w:val="%1)"/>
      <w:lvlJc w:val="left"/>
      <w:pPr>
        <w:tabs>
          <w:tab w:val="left" w:pos="800"/>
        </w:tabs>
        <w:ind w:left="800" w:hanging="400"/>
      </w:pPr>
    </w:lvl>
  </w:abstractNum>
  <w:abstractNum w:abstractNumId="20">
    <w:nsid w:val="6C9427BE"/>
    <w:multiLevelType w:val="singleLevel"/>
    <w:tmpl w:val="6C9427BE"/>
    <w:lvl w:ilvl="0" w:tentative="0">
      <w:start w:val="1"/>
      <w:numFmt w:val="lowerLetter"/>
      <w:lvlText w:val="%1)"/>
      <w:lvlJc w:val="left"/>
      <w:pPr>
        <w:tabs>
          <w:tab w:val="left" w:pos="800"/>
        </w:tabs>
        <w:ind w:left="800" w:hanging="400"/>
      </w:pPr>
    </w:lvl>
  </w:abstractNum>
  <w:abstractNum w:abstractNumId="21">
    <w:nsid w:val="6F903CAE"/>
    <w:multiLevelType w:val="singleLevel"/>
    <w:tmpl w:val="6F903CAE"/>
    <w:lvl w:ilvl="0" w:tentative="0">
      <w:start w:val="1"/>
      <w:numFmt w:val="lowerLetter"/>
      <w:lvlText w:val="%1)"/>
      <w:lvlJc w:val="left"/>
      <w:pPr>
        <w:tabs>
          <w:tab w:val="left" w:pos="800"/>
        </w:tabs>
        <w:ind w:left="800" w:hanging="400"/>
      </w:pPr>
    </w:lvl>
  </w:abstractNum>
  <w:abstractNum w:abstractNumId="22">
    <w:nsid w:val="757F4B39"/>
    <w:multiLevelType w:val="singleLevel"/>
    <w:tmpl w:val="757F4B39"/>
    <w:lvl w:ilvl="0" w:tentative="0">
      <w:start w:val="1"/>
      <w:numFmt w:val="lowerLetter"/>
      <w:lvlText w:val="%1)"/>
      <w:lvlJc w:val="left"/>
      <w:pPr>
        <w:tabs>
          <w:tab w:val="left" w:pos="800"/>
        </w:tabs>
        <w:ind w:left="800" w:hanging="400"/>
      </w:pPr>
    </w:lvl>
  </w:abstractNum>
  <w:abstractNum w:abstractNumId="23">
    <w:nsid w:val="76171498"/>
    <w:multiLevelType w:val="singleLevel"/>
    <w:tmpl w:val="76171498"/>
    <w:lvl w:ilvl="0" w:tentative="0">
      <w:start w:val="1"/>
      <w:numFmt w:val="lowerLetter"/>
      <w:lvlText w:val="%1)"/>
      <w:lvlJc w:val="left"/>
      <w:pPr>
        <w:tabs>
          <w:tab w:val="left" w:pos="826"/>
        </w:tabs>
        <w:ind w:left="826" w:hanging="400"/>
      </w:pPr>
    </w:lvl>
  </w:abstractNum>
  <w:abstractNum w:abstractNumId="24">
    <w:nsid w:val="7A5846C8"/>
    <w:multiLevelType w:val="singleLevel"/>
    <w:tmpl w:val="7A5846C8"/>
    <w:lvl w:ilvl="0" w:tentative="0">
      <w:start w:val="1"/>
      <w:numFmt w:val="lowerLetter"/>
      <w:lvlText w:val="%1)"/>
      <w:lvlJc w:val="left"/>
      <w:pPr>
        <w:tabs>
          <w:tab w:val="left" w:pos="800"/>
        </w:tabs>
        <w:ind w:left="800" w:hanging="400"/>
      </w:pPr>
    </w:lvl>
  </w:abstractNum>
  <w:abstractNum w:abstractNumId="25">
    <w:nsid w:val="7FAD571D"/>
    <w:multiLevelType w:val="singleLevel"/>
    <w:tmpl w:val="7FAD571D"/>
    <w:lvl w:ilvl="0" w:tentative="0">
      <w:start w:val="1"/>
      <w:numFmt w:val="lowerLetter"/>
      <w:lvlText w:val="%1)"/>
      <w:lvlJc w:val="left"/>
      <w:pPr>
        <w:tabs>
          <w:tab w:val="left" w:pos="800"/>
        </w:tabs>
        <w:ind w:left="800" w:hanging="400"/>
      </w:pPr>
    </w:lvl>
  </w:abstractNum>
  <w:num w:numId="1">
    <w:abstractNumId w:val="7"/>
  </w:num>
  <w:num w:numId="2">
    <w:abstractNumId w:val="2"/>
  </w:num>
  <w:num w:numId="3">
    <w:abstractNumId w:val="0"/>
  </w:num>
  <w:num w:numId="4">
    <w:abstractNumId w:val="6"/>
  </w:num>
  <w:num w:numId="5">
    <w:abstractNumId w:val="5"/>
  </w:num>
  <w:num w:numId="6">
    <w:abstractNumId w:val="11"/>
  </w:num>
  <w:num w:numId="7">
    <w:abstractNumId w:val="14"/>
  </w:num>
  <w:num w:numId="8">
    <w:abstractNumId w:val="3"/>
  </w:num>
  <w:num w:numId="9">
    <w:abstractNumId w:val="19"/>
  </w:num>
  <w:num w:numId="10">
    <w:abstractNumId w:val="23"/>
  </w:num>
  <w:num w:numId="11">
    <w:abstractNumId w:val="17"/>
  </w:num>
  <w:num w:numId="12">
    <w:abstractNumId w:val="24"/>
  </w:num>
  <w:num w:numId="13">
    <w:abstractNumId w:val="20"/>
  </w:num>
  <w:num w:numId="14">
    <w:abstractNumId w:val="21"/>
  </w:num>
  <w:num w:numId="15">
    <w:abstractNumId w:val="8"/>
  </w:num>
  <w:num w:numId="16">
    <w:abstractNumId w:val="16"/>
  </w:num>
  <w:num w:numId="17">
    <w:abstractNumId w:val="1"/>
  </w:num>
  <w:num w:numId="18">
    <w:abstractNumId w:val="22"/>
  </w:num>
  <w:num w:numId="19">
    <w:abstractNumId w:val="15"/>
  </w:num>
  <w:num w:numId="20">
    <w:abstractNumId w:val="10"/>
  </w:num>
  <w:num w:numId="21">
    <w:abstractNumId w:val="25"/>
  </w:num>
  <w:num w:numId="22">
    <w:abstractNumId w:val="12"/>
  </w:num>
  <w:num w:numId="23">
    <w:abstractNumId w:val="4"/>
  </w:num>
  <w:num w:numId="24">
    <w:abstractNumId w:val="13"/>
    <w:lvlOverride w:ilvl="0">
      <w:startOverride w:val="1"/>
    </w:lvlOverride>
  </w:num>
  <w:num w:numId="25">
    <w:abstractNumId w:val="18"/>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2C4D"/>
    <w:rsid w:val="019E35C9"/>
    <w:rsid w:val="03FE6DF9"/>
    <w:rsid w:val="043D1165"/>
    <w:rsid w:val="04CA5F13"/>
    <w:rsid w:val="057B2792"/>
    <w:rsid w:val="09975BD2"/>
    <w:rsid w:val="0A6D1DCA"/>
    <w:rsid w:val="0AA731D4"/>
    <w:rsid w:val="0ABB46E2"/>
    <w:rsid w:val="0C164021"/>
    <w:rsid w:val="0CB36566"/>
    <w:rsid w:val="0D070E08"/>
    <w:rsid w:val="0D2549DE"/>
    <w:rsid w:val="0D7633A7"/>
    <w:rsid w:val="0F915954"/>
    <w:rsid w:val="11466110"/>
    <w:rsid w:val="11CD2746"/>
    <w:rsid w:val="12F75941"/>
    <w:rsid w:val="13E350F6"/>
    <w:rsid w:val="151C7E35"/>
    <w:rsid w:val="155E541B"/>
    <w:rsid w:val="16564E4B"/>
    <w:rsid w:val="16B33102"/>
    <w:rsid w:val="18AB172A"/>
    <w:rsid w:val="19C8321E"/>
    <w:rsid w:val="1AA54D6C"/>
    <w:rsid w:val="1ACD6B3F"/>
    <w:rsid w:val="1AFD3D34"/>
    <w:rsid w:val="1B07030F"/>
    <w:rsid w:val="1B1E4D4B"/>
    <w:rsid w:val="1C0256CB"/>
    <w:rsid w:val="1D281E65"/>
    <w:rsid w:val="1DFE2872"/>
    <w:rsid w:val="1E356E8E"/>
    <w:rsid w:val="216771C3"/>
    <w:rsid w:val="220B1CEC"/>
    <w:rsid w:val="239C0D78"/>
    <w:rsid w:val="24707020"/>
    <w:rsid w:val="24DA7675"/>
    <w:rsid w:val="25243186"/>
    <w:rsid w:val="2558009C"/>
    <w:rsid w:val="25D965AC"/>
    <w:rsid w:val="2708422B"/>
    <w:rsid w:val="272122E0"/>
    <w:rsid w:val="273C0057"/>
    <w:rsid w:val="2A3F5231"/>
    <w:rsid w:val="2C2836AF"/>
    <w:rsid w:val="2CB93993"/>
    <w:rsid w:val="2E49263F"/>
    <w:rsid w:val="2E847A59"/>
    <w:rsid w:val="2E8E53DD"/>
    <w:rsid w:val="2EE16950"/>
    <w:rsid w:val="2F255FE5"/>
    <w:rsid w:val="30273F6A"/>
    <w:rsid w:val="32E40B7F"/>
    <w:rsid w:val="333F6F36"/>
    <w:rsid w:val="33F345E5"/>
    <w:rsid w:val="341E5AB2"/>
    <w:rsid w:val="342F5D1C"/>
    <w:rsid w:val="383B7CB4"/>
    <w:rsid w:val="38440F1A"/>
    <w:rsid w:val="38B75A11"/>
    <w:rsid w:val="390C00F8"/>
    <w:rsid w:val="3A413490"/>
    <w:rsid w:val="3A4C68AE"/>
    <w:rsid w:val="3B47680D"/>
    <w:rsid w:val="3BA642E1"/>
    <w:rsid w:val="3C0D3135"/>
    <w:rsid w:val="3E86131C"/>
    <w:rsid w:val="405A5CC5"/>
    <w:rsid w:val="40D90483"/>
    <w:rsid w:val="413D0443"/>
    <w:rsid w:val="418052FE"/>
    <w:rsid w:val="42272946"/>
    <w:rsid w:val="43894962"/>
    <w:rsid w:val="47281DDD"/>
    <w:rsid w:val="47311E73"/>
    <w:rsid w:val="483D73F0"/>
    <w:rsid w:val="48445BE5"/>
    <w:rsid w:val="4914116B"/>
    <w:rsid w:val="498B36EB"/>
    <w:rsid w:val="49C97313"/>
    <w:rsid w:val="4BC37020"/>
    <w:rsid w:val="4CE13019"/>
    <w:rsid w:val="4CF255B1"/>
    <w:rsid w:val="4E646699"/>
    <w:rsid w:val="4F560BB2"/>
    <w:rsid w:val="4F9B6B41"/>
    <w:rsid w:val="4FBC6595"/>
    <w:rsid w:val="50A67B5E"/>
    <w:rsid w:val="51087BA5"/>
    <w:rsid w:val="51160E05"/>
    <w:rsid w:val="51F83C04"/>
    <w:rsid w:val="55763CAB"/>
    <w:rsid w:val="570B23E3"/>
    <w:rsid w:val="578935BC"/>
    <w:rsid w:val="57C51296"/>
    <w:rsid w:val="59895A2F"/>
    <w:rsid w:val="59EE322D"/>
    <w:rsid w:val="5AA26459"/>
    <w:rsid w:val="5BAB7B4F"/>
    <w:rsid w:val="5D926DC3"/>
    <w:rsid w:val="5E5623E4"/>
    <w:rsid w:val="5FF57EF0"/>
    <w:rsid w:val="6083723A"/>
    <w:rsid w:val="62033EB7"/>
    <w:rsid w:val="637449DE"/>
    <w:rsid w:val="6501186F"/>
    <w:rsid w:val="66DB718F"/>
    <w:rsid w:val="67AB6895"/>
    <w:rsid w:val="68D921A8"/>
    <w:rsid w:val="6A7841D9"/>
    <w:rsid w:val="6A8054B1"/>
    <w:rsid w:val="6B6D0362"/>
    <w:rsid w:val="6B993D4E"/>
    <w:rsid w:val="6CD602B7"/>
    <w:rsid w:val="6F625D9B"/>
    <w:rsid w:val="71516D7F"/>
    <w:rsid w:val="722534BC"/>
    <w:rsid w:val="72911FF8"/>
    <w:rsid w:val="73FD78A0"/>
    <w:rsid w:val="755D5C19"/>
    <w:rsid w:val="759C7433"/>
    <w:rsid w:val="759F35B5"/>
    <w:rsid w:val="76617148"/>
    <w:rsid w:val="775411A4"/>
    <w:rsid w:val="77A52EB0"/>
    <w:rsid w:val="78C90C7E"/>
    <w:rsid w:val="78DB34C7"/>
    <w:rsid w:val="790D0CE1"/>
    <w:rsid w:val="798C1918"/>
    <w:rsid w:val="79F30046"/>
    <w:rsid w:val="7B113D19"/>
    <w:rsid w:val="7C845436"/>
    <w:rsid w:val="7CB7029F"/>
    <w:rsid w:val="7DEA4E28"/>
    <w:rsid w:val="7DEA65C0"/>
    <w:rsid w:val="7ECB1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28"/>
      <w:szCs w:val="24"/>
      <w:lang w:val="en-US" w:eastAsia="zh-CN" w:bidi="ar-SA"/>
    </w:rPr>
  </w:style>
  <w:style w:type="paragraph" w:styleId="7">
    <w:name w:val="heading 1"/>
    <w:basedOn w:val="1"/>
    <w:next w:val="1"/>
    <w:link w:val="62"/>
    <w:qFormat/>
    <w:uiPriority w:val="0"/>
    <w:pPr>
      <w:keepNext/>
      <w:keepLines/>
      <w:spacing w:beforeAutospacing="0" w:afterAutospacing="0" w:line="576" w:lineRule="auto"/>
      <w:ind w:firstLine="0"/>
      <w:outlineLvl w:val="0"/>
    </w:pPr>
    <w:rPr>
      <w:rFonts w:asciiTheme="minorAscii" w:hAnsiTheme="minorAscii"/>
      <w:b/>
      <w:kern w:val="44"/>
      <w:sz w:val="44"/>
    </w:rPr>
  </w:style>
  <w:style w:type="paragraph" w:styleId="8">
    <w:name w:val="heading 2"/>
    <w:basedOn w:val="1"/>
    <w:next w:val="1"/>
    <w:link w:val="47"/>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9">
    <w:name w:val="heading 3"/>
    <w:basedOn w:val="1"/>
    <w:next w:val="1"/>
    <w:link w:val="49"/>
    <w:unhideWhenUsed/>
    <w:qFormat/>
    <w:uiPriority w:val="0"/>
    <w:pPr>
      <w:keepNext/>
      <w:keepLines/>
      <w:numPr>
        <w:ilvl w:val="2"/>
        <w:numId w:val="1"/>
      </w:numPr>
      <w:spacing w:before="260" w:beforeLines="0" w:beforeAutospacing="0" w:after="260" w:afterLines="0" w:afterAutospacing="0" w:line="413" w:lineRule="auto"/>
      <w:outlineLvl w:val="2"/>
    </w:pPr>
    <w:rPr>
      <w:b/>
      <w:sz w:val="32"/>
    </w:rPr>
  </w:style>
  <w:style w:type="paragraph" w:styleId="10">
    <w:name w:val="heading 4"/>
    <w:basedOn w:val="1"/>
    <w:next w:val="1"/>
    <w:link w:val="59"/>
    <w:semiHidden/>
    <w:unhideWhenUsed/>
    <w:qFormat/>
    <w:uiPriority w:val="0"/>
    <w:pPr>
      <w:keepNext/>
      <w:keepLines/>
      <w:numPr>
        <w:ilvl w:val="3"/>
        <w:numId w:val="1"/>
      </w:numPr>
      <w:spacing w:before="280" w:beforeLines="0" w:beforeAutospacing="0" w:after="290" w:afterLines="0" w:afterAutospacing="0" w:line="372" w:lineRule="auto"/>
      <w:outlineLvl w:val="3"/>
    </w:pPr>
    <w:rPr>
      <w:rFonts w:ascii="Arial" w:hAnsi="Arial" w:eastAsia="黑体"/>
      <w:b/>
      <w:sz w:val="28"/>
    </w:rPr>
  </w:style>
  <w:style w:type="paragraph" w:styleId="11">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outlineLvl w:val="4"/>
    </w:pPr>
    <w:rPr>
      <w:b/>
      <w:sz w:val="28"/>
    </w:rPr>
  </w:style>
  <w:style w:type="paragraph" w:styleId="12">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outlineLvl w:val="5"/>
    </w:pPr>
    <w:rPr>
      <w:rFonts w:ascii="Arial" w:hAnsi="Arial" w:eastAsia="黑体"/>
      <w:b/>
      <w:sz w:val="24"/>
    </w:rPr>
  </w:style>
  <w:style w:type="paragraph" w:styleId="13">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outlineLvl w:val="6"/>
    </w:pPr>
    <w:rPr>
      <w:b/>
      <w:sz w:val="24"/>
    </w:rPr>
  </w:style>
  <w:style w:type="paragraph" w:styleId="14">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outlineLvl w:val="7"/>
    </w:pPr>
    <w:rPr>
      <w:rFonts w:ascii="Arial" w:hAnsi="Arial" w:eastAsia="黑体"/>
      <w:sz w:val="24"/>
    </w:rPr>
  </w:style>
  <w:style w:type="paragraph" w:styleId="15">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outlineLvl w:val="8"/>
    </w:pPr>
    <w:rPr>
      <w:rFonts w:ascii="Arial" w:hAnsi="Arial" w:eastAsia="黑体"/>
      <w:sz w:val="21"/>
    </w:rPr>
  </w:style>
  <w:style w:type="character" w:default="1" w:styleId="25">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envelope return"/>
    <w:basedOn w:val="1"/>
    <w:qFormat/>
    <w:uiPriority w:val="0"/>
    <w:pPr>
      <w:snapToGrid w:val="0"/>
    </w:pPr>
    <w:rPr>
      <w:rFonts w:ascii="Arial" w:hAnsi="Arial"/>
    </w:rPr>
  </w:style>
  <w:style w:type="paragraph" w:styleId="5">
    <w:name w:val="Body Text"/>
    <w:basedOn w:val="1"/>
    <w:next w:val="6"/>
    <w:qFormat/>
    <w:uiPriority w:val="0"/>
    <w:pPr>
      <w:spacing w:after="120" w:afterLines="0" w:afterAutospacing="0"/>
    </w:pPr>
  </w:style>
  <w:style w:type="paragraph" w:styleId="6">
    <w:name w:val="Body Text 2"/>
    <w:basedOn w:val="1"/>
    <w:qFormat/>
    <w:uiPriority w:val="0"/>
    <w:rPr>
      <w:rFonts w:ascii="楷体_GB2312" w:eastAsia="楷体_GB2312"/>
      <w:sz w:val="24"/>
    </w:rPr>
  </w:style>
  <w:style w:type="paragraph" w:styleId="16">
    <w:name w:val="Normal Indent"/>
    <w:basedOn w:val="1"/>
    <w:qFormat/>
    <w:uiPriority w:val="0"/>
    <w:pPr>
      <w:ind w:firstLine="420" w:firstLineChars="200"/>
    </w:pPr>
  </w:style>
  <w:style w:type="paragraph" w:styleId="17">
    <w:name w:val="caption"/>
    <w:basedOn w:val="1"/>
    <w:next w:val="1"/>
    <w:unhideWhenUsed/>
    <w:qFormat/>
    <w:uiPriority w:val="0"/>
    <w:rPr>
      <w:rFonts w:ascii="Cambria" w:hAnsi="Cambria" w:eastAsia="黑体"/>
      <w:sz w:val="20"/>
      <w:szCs w:val="20"/>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Normal (Web)"/>
    <w:basedOn w:val="1"/>
    <w:unhideWhenUsed/>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21">
    <w:name w:val="Body Text First Indent"/>
    <w:basedOn w:val="5"/>
    <w:qFormat/>
    <w:uiPriority w:val="99"/>
    <w:pPr>
      <w:ind w:firstLine="420" w:firstLineChars="1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Medium List 2 Accent 1"/>
    <w:basedOn w:val="22"/>
    <w:qFormat/>
    <w:uiPriority w:val="66"/>
    <w:rPr>
      <w:rFonts w:asciiTheme="majorHAnsi" w:hAnsiTheme="majorHAnsi" w:eastAsiaTheme="majorEastAsia" w:cstheme="majorBidi"/>
      <w:color w:val="000000" w:themeColor="text1"/>
      <w:sz w:val="22"/>
      <w:szCs w:val="22"/>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26">
    <w:name w:val="Hyperlink"/>
    <w:basedOn w:val="25"/>
    <w:qFormat/>
    <w:uiPriority w:val="0"/>
    <w:rPr>
      <w:color w:val="0000FF"/>
      <w:u w:val="single"/>
    </w:rPr>
  </w:style>
  <w:style w:type="paragraph" w:customStyle="1" w:styleId="27">
    <w:name w:val="样式12"/>
    <w:basedOn w:val="1"/>
    <w:next w:val="1"/>
    <w:qFormat/>
    <w:uiPriority w:val="0"/>
    <w:pPr>
      <w:numPr>
        <w:ilvl w:val="0"/>
        <w:numId w:val="2"/>
      </w:numPr>
      <w:jc w:val="center"/>
      <w:outlineLvl w:val="1"/>
    </w:pPr>
    <w:rPr>
      <w:rFonts w:asciiTheme="minorAscii" w:hAnsiTheme="minorAscii"/>
      <w:b/>
      <w:sz w:val="36"/>
    </w:rPr>
  </w:style>
  <w:style w:type="paragraph" w:customStyle="1" w:styleId="28">
    <w:name w:val="二级标题"/>
    <w:basedOn w:val="1"/>
    <w:next w:val="1"/>
    <w:qFormat/>
    <w:uiPriority w:val="0"/>
    <w:pPr>
      <w:numPr>
        <w:ilvl w:val="1"/>
        <w:numId w:val="3"/>
      </w:numPr>
      <w:ind w:left="0" w:firstLine="0"/>
      <w:jc w:val="center"/>
      <w:outlineLvl w:val="1"/>
    </w:pPr>
    <w:rPr>
      <w:rFonts w:eastAsia="仿宋_GB2312" w:asciiTheme="minorAscii" w:hAnsiTheme="minorAscii"/>
      <w:b/>
      <w:sz w:val="36"/>
    </w:rPr>
  </w:style>
  <w:style w:type="paragraph" w:customStyle="1" w:styleId="29">
    <w:name w:val="jp一级标题"/>
    <w:next w:val="1"/>
    <w:qFormat/>
    <w:uiPriority w:val="0"/>
    <w:pPr>
      <w:numPr>
        <w:ilvl w:val="0"/>
        <w:numId w:val="4"/>
      </w:numPr>
      <w:spacing w:after="100" w:afterLines="100" w:line="240" w:lineRule="auto"/>
      <w:ind w:left="0" w:firstLine="400"/>
      <w:jc w:val="center"/>
      <w:outlineLvl w:val="0"/>
    </w:pPr>
    <w:rPr>
      <w:rFonts w:ascii="黑体" w:hAnsi="黑体" w:eastAsia="黑体" w:cstheme="minorBidi"/>
      <w:b/>
      <w:sz w:val="44"/>
    </w:rPr>
  </w:style>
  <w:style w:type="paragraph" w:customStyle="1" w:styleId="30">
    <w:name w:val="三级标题"/>
    <w:basedOn w:val="1"/>
    <w:qFormat/>
    <w:uiPriority w:val="0"/>
    <w:pPr>
      <w:numPr>
        <w:ilvl w:val="2"/>
        <w:numId w:val="3"/>
      </w:numPr>
    </w:pPr>
  </w:style>
  <w:style w:type="paragraph" w:customStyle="1" w:styleId="31">
    <w:name w:val="四级标题"/>
    <w:basedOn w:val="1"/>
    <w:qFormat/>
    <w:uiPriority w:val="0"/>
    <w:pPr>
      <w:numPr>
        <w:ilvl w:val="3"/>
        <w:numId w:val="3"/>
      </w:numPr>
    </w:pPr>
  </w:style>
  <w:style w:type="paragraph" w:customStyle="1" w:styleId="32">
    <w:name w:val="五级标题"/>
    <w:basedOn w:val="1"/>
    <w:qFormat/>
    <w:uiPriority w:val="0"/>
    <w:pPr>
      <w:numPr>
        <w:ilvl w:val="4"/>
        <w:numId w:val="5"/>
      </w:numPr>
    </w:pPr>
  </w:style>
  <w:style w:type="paragraph" w:customStyle="1" w:styleId="33">
    <w:name w:val="783标题6"/>
    <w:basedOn w:val="1"/>
    <w:qFormat/>
    <w:uiPriority w:val="0"/>
    <w:pPr>
      <w:numPr>
        <w:ilvl w:val="5"/>
        <w:numId w:val="3"/>
      </w:numPr>
      <w:ind w:left="3260" w:hanging="1134"/>
    </w:pPr>
  </w:style>
  <w:style w:type="paragraph" w:customStyle="1" w:styleId="34">
    <w:name w:val="783标题7"/>
    <w:basedOn w:val="1"/>
    <w:qFormat/>
    <w:uiPriority w:val="0"/>
    <w:pPr>
      <w:numPr>
        <w:ilvl w:val="6"/>
        <w:numId w:val="3"/>
      </w:numPr>
      <w:ind w:left="3827" w:hanging="1276"/>
    </w:pPr>
  </w:style>
  <w:style w:type="paragraph" w:customStyle="1" w:styleId="35">
    <w:name w:val="jp二级标题"/>
    <w:basedOn w:val="1"/>
    <w:next w:val="1"/>
    <w:link w:val="43"/>
    <w:qFormat/>
    <w:uiPriority w:val="0"/>
    <w:pPr>
      <w:numPr>
        <w:ilvl w:val="1"/>
        <w:numId w:val="4"/>
      </w:numPr>
      <w:ind w:firstLine="0"/>
      <w:jc w:val="left"/>
      <w:outlineLvl w:val="1"/>
    </w:pPr>
    <w:rPr>
      <w:rFonts w:ascii="黑体" w:hAnsi="黑体" w:eastAsia="黑体"/>
      <w:b/>
      <w:sz w:val="36"/>
    </w:rPr>
  </w:style>
  <w:style w:type="paragraph" w:customStyle="1" w:styleId="36">
    <w:name w:val="一级标题"/>
    <w:basedOn w:val="1"/>
    <w:qFormat/>
    <w:uiPriority w:val="0"/>
    <w:pPr>
      <w:numPr>
        <w:ilvl w:val="0"/>
        <w:numId w:val="3"/>
      </w:numPr>
    </w:pPr>
  </w:style>
  <w:style w:type="paragraph" w:customStyle="1" w:styleId="37">
    <w:name w:val="jp三级标题"/>
    <w:link w:val="44"/>
    <w:qFormat/>
    <w:uiPriority w:val="0"/>
    <w:pPr>
      <w:numPr>
        <w:ilvl w:val="2"/>
        <w:numId w:val="4"/>
      </w:numPr>
      <w:ind w:firstLine="0"/>
      <w:jc w:val="left"/>
      <w:outlineLvl w:val="2"/>
    </w:pPr>
    <w:rPr>
      <w:rFonts w:ascii="黑体" w:hAnsi="黑体" w:eastAsia="黑体" w:cstheme="minorBidi"/>
      <w:b/>
      <w:sz w:val="32"/>
    </w:rPr>
  </w:style>
  <w:style w:type="paragraph" w:customStyle="1" w:styleId="38">
    <w:name w:val="jp四级标题"/>
    <w:basedOn w:val="1"/>
    <w:link w:val="42"/>
    <w:qFormat/>
    <w:uiPriority w:val="0"/>
    <w:pPr>
      <w:numPr>
        <w:ilvl w:val="3"/>
        <w:numId w:val="4"/>
      </w:numPr>
      <w:ind w:firstLine="0"/>
      <w:jc w:val="left"/>
      <w:outlineLvl w:val="3"/>
    </w:pPr>
    <w:rPr>
      <w:rFonts w:eastAsia="黑体" w:asciiTheme="minorAscii" w:hAnsiTheme="minorAscii"/>
      <w:b/>
    </w:rPr>
  </w:style>
  <w:style w:type="paragraph" w:customStyle="1" w:styleId="39">
    <w:name w:val="jp五级标题"/>
    <w:basedOn w:val="38"/>
    <w:link w:val="65"/>
    <w:qFormat/>
    <w:uiPriority w:val="0"/>
    <w:pPr>
      <w:numPr>
        <w:ilvl w:val="4"/>
        <w:numId w:val="4"/>
      </w:numPr>
      <w:outlineLvl w:val="4"/>
    </w:pPr>
  </w:style>
  <w:style w:type="paragraph" w:customStyle="1" w:styleId="40">
    <w:name w:val="jp正文无缩进"/>
    <w:basedOn w:val="1"/>
    <w:link w:val="50"/>
    <w:qFormat/>
    <w:uiPriority w:val="0"/>
    <w:pPr>
      <w:ind w:firstLine="0" w:firstLineChars="0"/>
    </w:pPr>
    <w:rPr>
      <w:rFonts w:ascii="仿宋_GB2312" w:hAnsi="仿宋_GB2312"/>
    </w:rPr>
  </w:style>
  <w:style w:type="paragraph" w:customStyle="1" w:styleId="41">
    <w:name w:val="jp六级标题"/>
    <w:basedOn w:val="39"/>
    <w:next w:val="1"/>
    <w:qFormat/>
    <w:uiPriority w:val="0"/>
    <w:pPr>
      <w:numPr>
        <w:ilvl w:val="5"/>
      </w:numPr>
      <w:outlineLvl w:val="5"/>
    </w:pPr>
  </w:style>
  <w:style w:type="character" w:customStyle="1" w:styleId="42">
    <w:name w:val="jp四级标题 Char"/>
    <w:link w:val="38"/>
    <w:qFormat/>
    <w:uiPriority w:val="0"/>
    <w:rPr>
      <w:rFonts w:eastAsia="黑体" w:asciiTheme="minorAscii" w:hAnsiTheme="minorAscii"/>
      <w:b/>
      <w:sz w:val="28"/>
    </w:rPr>
  </w:style>
  <w:style w:type="character" w:customStyle="1" w:styleId="43">
    <w:name w:val="jp二级标题 Char"/>
    <w:link w:val="35"/>
    <w:qFormat/>
    <w:uiPriority w:val="0"/>
    <w:rPr>
      <w:rFonts w:ascii="黑体" w:hAnsi="黑体" w:eastAsia="黑体"/>
      <w:b/>
      <w:sz w:val="36"/>
    </w:rPr>
  </w:style>
  <w:style w:type="character" w:customStyle="1" w:styleId="44">
    <w:name w:val="jp三级标题 Char"/>
    <w:link w:val="37"/>
    <w:qFormat/>
    <w:uiPriority w:val="0"/>
    <w:rPr>
      <w:rFonts w:ascii="黑体" w:hAnsi="黑体" w:eastAsia="黑体" w:cstheme="minorBidi"/>
      <w:b/>
      <w:sz w:val="32"/>
    </w:rPr>
  </w:style>
  <w:style w:type="paragraph" w:customStyle="1" w:styleId="45">
    <w:name w:val="jp表格"/>
    <w:qFormat/>
    <w:uiPriority w:val="0"/>
    <w:pPr>
      <w:jc w:val="center"/>
    </w:pPr>
    <w:rPr>
      <w:rFonts w:ascii="仿宋_GB2312" w:hAnsi="仿宋_GB2312" w:eastAsia="仿宋_GB2312" w:cs="仿宋_GB2312"/>
      <w:sz w:val="21"/>
      <w:szCs w:val="21"/>
    </w:rPr>
  </w:style>
  <w:style w:type="paragraph" w:customStyle="1" w:styleId="46">
    <w:name w:val="jp正文缩进"/>
    <w:link w:val="51"/>
    <w:qFormat/>
    <w:uiPriority w:val="0"/>
    <w:pPr>
      <w:ind w:firstLine="876" w:firstLineChars="200"/>
    </w:pPr>
    <w:rPr>
      <w:rFonts w:ascii="仿宋_GB2312" w:hAnsi="仿宋_GB2312" w:eastAsia="仿宋_GB2312" w:cstheme="minorBidi"/>
      <w:sz w:val="28"/>
    </w:rPr>
  </w:style>
  <w:style w:type="character" w:customStyle="1" w:styleId="47">
    <w:name w:val="标题 2 Char"/>
    <w:basedOn w:val="25"/>
    <w:link w:val="8"/>
    <w:qFormat/>
    <w:uiPriority w:val="9"/>
    <w:rPr>
      <w:rFonts w:ascii="Arial" w:hAnsi="Arial" w:eastAsia="黑体"/>
      <w:b/>
      <w:sz w:val="32"/>
    </w:rPr>
  </w:style>
  <w:style w:type="character" w:customStyle="1" w:styleId="48">
    <w:name w:val="Heading 3 Char"/>
    <w:basedOn w:val="25"/>
    <w:link w:val="9"/>
    <w:qFormat/>
    <w:uiPriority w:val="9"/>
    <w:rPr>
      <w:b/>
      <w:sz w:val="32"/>
    </w:rPr>
  </w:style>
  <w:style w:type="character" w:customStyle="1" w:styleId="49">
    <w:name w:val="标题 3 Char"/>
    <w:basedOn w:val="25"/>
    <w:link w:val="9"/>
    <w:qFormat/>
    <w:uiPriority w:val="9"/>
    <w:rPr>
      <w:rFonts w:ascii="Times New Roman" w:hAnsi="Times New Roman" w:eastAsia="仿宋_GB2312" w:cs="Times New Roman"/>
      <w:b/>
      <w:bCs/>
      <w:sz w:val="28"/>
      <w:szCs w:val="32"/>
    </w:rPr>
  </w:style>
  <w:style w:type="character" w:customStyle="1" w:styleId="50">
    <w:name w:val="jp正文无缩进 Char"/>
    <w:link w:val="40"/>
    <w:qFormat/>
    <w:uiPriority w:val="0"/>
    <w:rPr>
      <w:rFonts w:ascii="仿宋_GB2312" w:hAnsi="仿宋_GB2312" w:eastAsia="仿宋_GB2312"/>
      <w:sz w:val="28"/>
    </w:rPr>
  </w:style>
  <w:style w:type="character" w:customStyle="1" w:styleId="51">
    <w:name w:val="jp正文缩进 Char"/>
    <w:link w:val="46"/>
    <w:qFormat/>
    <w:uiPriority w:val="0"/>
    <w:rPr>
      <w:rFonts w:ascii="仿宋_GB2312" w:hAnsi="仿宋_GB2312" w:eastAsia="仿宋_GB2312" w:cstheme="minorBidi"/>
      <w:sz w:val="28"/>
    </w:rPr>
  </w:style>
  <w:style w:type="paragraph" w:customStyle="1" w:styleId="52">
    <w:name w:val="投标-正文"/>
    <w:basedOn w:val="1"/>
    <w:qFormat/>
    <w:uiPriority w:val="99"/>
    <w:pPr>
      <w:ind w:firstLine="200" w:firstLineChars="200"/>
      <w:jc w:val="left"/>
    </w:pPr>
    <w:rPr>
      <w:rFonts w:ascii="Times New Roman" w:hAnsi="Times New Roman"/>
      <w:sz w:val="28"/>
      <w:szCs w:val="28"/>
    </w:rPr>
  </w:style>
  <w:style w:type="paragraph" w:customStyle="1" w:styleId="5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4">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styleId="55">
    <w:name w:val="List Paragraph"/>
    <w:basedOn w:val="1"/>
    <w:qFormat/>
    <w:uiPriority w:val="34"/>
    <w:pPr>
      <w:ind w:firstLine="420" w:firstLineChars="200"/>
    </w:pPr>
  </w:style>
  <w:style w:type="paragraph" w:customStyle="1" w:styleId="56">
    <w:name w:val="Code"/>
    <w:basedOn w:val="55"/>
    <w:qFormat/>
    <w:uiPriority w:val="0"/>
    <w:pPr>
      <w:shd w:val="clear" w:color="auto" w:fill="E7E6E6" w:themeFill="background2"/>
    </w:pPr>
    <w:rPr>
      <w:rFonts w:ascii="Consolas" w:hAnsi="Consolas"/>
      <w:sz w:val="16"/>
      <w:szCs w:val="16"/>
    </w:rPr>
  </w:style>
  <w:style w:type="paragraph" w:customStyle="1" w:styleId="57">
    <w:name w:val="标准文件_段落"/>
    <w:basedOn w:val="1"/>
    <w:qFormat/>
    <w:locked/>
    <w:uiPriority w:val="0"/>
    <w:pPr>
      <w:spacing w:line="316" w:lineRule="exact"/>
      <w:ind w:firstLine="428" w:firstLineChars="200"/>
      <w:jc w:val="left"/>
    </w:pPr>
    <w:rPr>
      <w:rFonts w:ascii="宋体"/>
      <w:spacing w:val="2"/>
      <w:kern w:val="0"/>
      <w:szCs w:val="21"/>
    </w:rPr>
  </w:style>
  <w:style w:type="character" w:customStyle="1" w:styleId="58">
    <w:name w:val="标题 4 Char"/>
    <w:link w:val="10"/>
    <w:qFormat/>
    <w:uiPriority w:val="0"/>
    <w:rPr>
      <w:rFonts w:ascii="Arial" w:hAnsi="Arial" w:eastAsia="黑体"/>
      <w:b/>
      <w:sz w:val="28"/>
    </w:rPr>
  </w:style>
  <w:style w:type="character" w:customStyle="1" w:styleId="59">
    <w:name w:val="Heading 4 Char"/>
    <w:basedOn w:val="25"/>
    <w:link w:val="10"/>
    <w:qFormat/>
    <w:uiPriority w:val="9"/>
    <w:rPr>
      <w:rFonts w:ascii="Calibri" w:hAnsi="Calibri" w:eastAsia="仿宋_GB2312" w:cstheme="majorBidi"/>
      <w:b/>
      <w:iCs/>
      <w:color w:val="000000" w:themeColor="text1"/>
      <w:kern w:val="2"/>
      <w:sz w:val="28"/>
      <w:szCs w:val="24"/>
      <w14:textFill>
        <w14:solidFill>
          <w14:schemeClr w14:val="tx1"/>
        </w14:solidFill>
      </w14:textFill>
    </w:rPr>
  </w:style>
  <w:style w:type="character" w:customStyle="1" w:styleId="60">
    <w:name w:val="fontstyle01"/>
    <w:basedOn w:val="25"/>
    <w:qFormat/>
    <w:uiPriority w:val="0"/>
    <w:rPr>
      <w:rFonts w:hint="eastAsia" w:ascii="宋体" w:hAnsi="宋体" w:eastAsia="宋体" w:cs="宋体"/>
      <w:color w:val="000000"/>
      <w:sz w:val="22"/>
      <w:szCs w:val="22"/>
    </w:rPr>
  </w:style>
  <w:style w:type="paragraph" w:customStyle="1" w:styleId="61">
    <w:name w:val="投标-4级标题"/>
    <w:basedOn w:val="52"/>
    <w:next w:val="52"/>
    <w:qFormat/>
    <w:uiPriority w:val="99"/>
    <w:pPr>
      <w:numPr>
        <w:ilvl w:val="3"/>
        <w:numId w:val="6"/>
      </w:numPr>
      <w:ind w:firstLineChars="0"/>
      <w:outlineLvl w:val="3"/>
    </w:pPr>
  </w:style>
  <w:style w:type="character" w:customStyle="1" w:styleId="62">
    <w:name w:val="标题 1 Char"/>
    <w:link w:val="7"/>
    <w:qFormat/>
    <w:uiPriority w:val="0"/>
    <w:rPr>
      <w:rFonts w:asciiTheme="minorAscii" w:hAnsiTheme="minorAscii"/>
      <w:b/>
      <w:kern w:val="44"/>
      <w:sz w:val="44"/>
    </w:rPr>
  </w:style>
  <w:style w:type="paragraph" w:customStyle="1" w:styleId="63">
    <w:name w:val="标准文件_段"/>
    <w:qFormat/>
    <w:uiPriority w:val="99"/>
    <w:pPr>
      <w:autoSpaceDE w:val="0"/>
      <w:autoSpaceDN w:val="0"/>
      <w:adjustRightInd w:val="0"/>
      <w:snapToGrid w:val="0"/>
      <w:spacing w:line="276" w:lineRule="auto"/>
      <w:ind w:left="-90" w:leftChars="-50" w:right="-90" w:rightChars="-50" w:firstLine="428" w:firstLineChars="200"/>
      <w:jc w:val="both"/>
    </w:pPr>
    <w:rPr>
      <w:rFonts w:ascii="宋体" w:hAnsi="宋体" w:eastAsia="宋体" w:cs="Times New Roman"/>
      <w:spacing w:val="2"/>
      <w:sz w:val="21"/>
      <w:lang w:val="en-US" w:eastAsia="zh-CN" w:bidi="ar-SA"/>
    </w:rPr>
  </w:style>
  <w:style w:type="paragraph" w:customStyle="1" w:styleId="64">
    <w:name w:val="表"/>
    <w:basedOn w:val="1"/>
    <w:qFormat/>
    <w:uiPriority w:val="0"/>
    <w:pPr>
      <w:widowControl w:val="0"/>
      <w:spacing w:line="240" w:lineRule="auto"/>
      <w:jc w:val="center"/>
    </w:pPr>
    <w:rPr>
      <w:rFonts w:ascii="Times New Roman" w:hAnsi="Times New Roman" w:cs="Times New Roman"/>
      <w:sz w:val="18"/>
      <w:szCs w:val="24"/>
    </w:rPr>
  </w:style>
  <w:style w:type="character" w:customStyle="1" w:styleId="65">
    <w:name w:val="jp五级标题 Char"/>
    <w:link w:val="39"/>
    <w:qFormat/>
    <w:uiPriority w:val="0"/>
  </w:style>
  <w:style w:type="paragraph" w:customStyle="1" w:styleId="66">
    <w:name w:val="783正文"/>
    <w:basedOn w:val="1"/>
    <w:qFormat/>
    <w:uiPriority w:val="0"/>
    <w:pPr>
      <w:spacing w:line="500" w:lineRule="exact"/>
      <w:ind w:firstLine="560" w:firstLineChars="200"/>
    </w:pPr>
    <w:rPr>
      <w:rFonts w:ascii="仿宋_GB2312" w:eastAsia="仿宋_GB2312"/>
      <w:sz w:val="28"/>
    </w:rPr>
  </w:style>
  <w:style w:type="paragraph" w:customStyle="1" w:styleId="67">
    <w:name w:val="783标题3"/>
    <w:basedOn w:val="9"/>
    <w:qFormat/>
    <w:uiPriority w:val="0"/>
    <w:pPr>
      <w:numPr>
        <w:numId w:val="7"/>
      </w:numPr>
      <w:spacing w:before="0" w:after="120" w:afterLines="50" w:line="240" w:lineRule="auto"/>
      <w:jc w:val="left"/>
    </w:pPr>
    <w:rPr>
      <w:rFonts w:ascii="宋体" w:hAnsi="宋体"/>
      <w:sz w:val="28"/>
    </w:rPr>
  </w:style>
  <w:style w:type="paragraph" w:customStyle="1" w:styleId="68">
    <w:name w:val="783标题4"/>
    <w:basedOn w:val="10"/>
    <w:qFormat/>
    <w:uiPriority w:val="0"/>
    <w:pPr>
      <w:numPr>
        <w:numId w:val="7"/>
      </w:numPr>
      <w:spacing w:before="0" w:after="50" w:afterLines="50" w:line="240" w:lineRule="auto"/>
      <w:jc w:val="left"/>
    </w:pPr>
    <w:rPr>
      <w:rFonts w:ascii="楷体" w:eastAsia="仿宋_GB2312"/>
    </w:rPr>
  </w:style>
  <w:style w:type="paragraph" w:customStyle="1" w:styleId="69">
    <w:name w:val="783图表注样式"/>
    <w:basedOn w:val="66"/>
    <w:qFormat/>
    <w:uiPriority w:val="1"/>
    <w:pPr>
      <w:spacing w:line="240" w:lineRule="auto"/>
      <w:ind w:firstLine="0" w:firstLineChars="0"/>
      <w:jc w:val="center"/>
    </w:pPr>
    <w:rPr>
      <w:rFonts w:hAnsi="等线"/>
      <w:kern w:val="2"/>
      <w:szCs w:val="22"/>
    </w:rPr>
  </w:style>
  <w:style w:type="paragraph" w:customStyle="1" w:styleId="70">
    <w:name w:val="题注表格"/>
    <w:qFormat/>
    <w:uiPriority w:val="10"/>
    <w:pPr>
      <w:keepNext/>
      <w:spacing w:before="50" w:beforeLines="50"/>
      <w:jc w:val="center"/>
    </w:pPr>
    <w:rPr>
      <w:rFonts w:ascii="Times New Roman" w:hAnsi="Times New Roman" w:eastAsia="黑体" w:cs="Times New Roman"/>
      <w:bCs/>
      <w:iCs/>
      <w:kern w:val="0"/>
      <w:sz w:val="24"/>
      <w:szCs w:val="28"/>
      <w:lang w:val="zh-CN" w:eastAsia="zh-CN" w:bidi="ar-SA"/>
    </w:rPr>
  </w:style>
  <w:style w:type="character" w:customStyle="1" w:styleId="71">
    <w:name w:val="783表格正文样式 Char"/>
    <w:link w:val="72"/>
    <w:qFormat/>
    <w:uiPriority w:val="1"/>
    <w:rPr>
      <w:rFonts w:ascii="宋体" w:hAnsi="等线" w:eastAsia="宋体"/>
      <w:kern w:val="2"/>
      <w:sz w:val="21"/>
      <w:szCs w:val="22"/>
    </w:rPr>
  </w:style>
  <w:style w:type="paragraph" w:customStyle="1" w:styleId="72">
    <w:name w:val="783表格正文样式"/>
    <w:basedOn w:val="66"/>
    <w:link w:val="71"/>
    <w:qFormat/>
    <w:uiPriority w:val="1"/>
    <w:pPr>
      <w:spacing w:before="15" w:beforeLines="15" w:after="30" w:afterLines="30" w:line="240" w:lineRule="auto"/>
      <w:ind w:firstLine="0" w:firstLineChars="0"/>
    </w:pPr>
    <w:rPr>
      <w:rFonts w:ascii="宋体" w:hAnsi="等线" w:eastAsia="宋体"/>
      <w:kern w:val="2"/>
      <w:sz w:val="21"/>
      <w:szCs w:val="22"/>
    </w:rPr>
  </w:style>
  <w:style w:type="paragraph" w:customStyle="1" w:styleId="73">
    <w:name w:val="783标题5"/>
    <w:basedOn w:val="68"/>
    <w:next w:val="66"/>
    <w:qFormat/>
    <w:uiPriority w:val="0"/>
    <w:pPr>
      <w:numPr>
        <w:ilvl w:val="4"/>
      </w:numPr>
      <w:tabs>
        <w:tab w:val="left" w:pos="1560"/>
      </w:tabs>
      <w:spacing w:after="120"/>
      <w:ind w:left="0" w:firstLine="0"/>
      <w:outlineLvl w:val="4"/>
    </w:pPr>
    <w:rPr>
      <w:rFonts w:hAnsi="等线 Light"/>
      <w:kern w:val="2"/>
      <w:szCs w:val="21"/>
    </w:rPr>
  </w:style>
  <w:style w:type="paragraph" w:customStyle="1" w:styleId="74">
    <w:name w:val="表格 标题"/>
    <w:basedOn w:val="1"/>
    <w:qFormat/>
    <w:uiPriority w:val="0"/>
    <w:pPr>
      <w:widowControl w:val="0"/>
      <w:snapToGrid/>
      <w:spacing w:line="360" w:lineRule="auto"/>
      <w:ind w:firstLine="360"/>
    </w:pPr>
    <w:rPr>
      <w:rFonts w:cs="Times New Roman"/>
      <w:b/>
      <w:szCs w:val="18"/>
    </w:rPr>
  </w:style>
  <w:style w:type="paragraph" w:customStyle="1" w:styleId="75">
    <w:name w:val="表格内正文"/>
    <w:basedOn w:val="1"/>
    <w:qFormat/>
    <w:uiPriority w:val="0"/>
    <w:pPr>
      <w:widowControl w:val="0"/>
      <w:adjustRightInd w:val="0"/>
      <w:spacing w:line="360" w:lineRule="auto"/>
      <w:ind w:firstLine="0" w:firstLineChars="0"/>
    </w:pPr>
    <w:rPr>
      <w:rFonts w:cs="Times New Roman"/>
      <w:szCs w:val="21"/>
    </w:rPr>
  </w:style>
  <w:style w:type="paragraph" w:customStyle="1" w:styleId="76">
    <w:name w:val="标准文件_一级条标题"/>
    <w:basedOn w:val="77"/>
    <w:next w:val="57"/>
    <w:qFormat/>
    <w:uiPriority w:val="0"/>
    <w:pPr>
      <w:numPr>
        <w:ilvl w:val="2"/>
      </w:numPr>
      <w:tabs>
        <w:tab w:val="left" w:pos="426"/>
      </w:tabs>
      <w:spacing w:beforeLines="0" w:afterLines="0"/>
      <w:outlineLvl w:val="2"/>
    </w:pPr>
    <w:rPr>
      <w:spacing w:val="2"/>
    </w:rPr>
  </w:style>
  <w:style w:type="paragraph" w:customStyle="1" w:styleId="77">
    <w:name w:val="标准文件_章标题"/>
    <w:next w:val="1"/>
    <w:qFormat/>
    <w:locked/>
    <w:uiPriority w:val="0"/>
    <w:pPr>
      <w:numPr>
        <w:ilvl w:val="1"/>
        <w:numId w:val="8"/>
      </w:numPr>
      <w:tabs>
        <w:tab w:val="left" w:pos="426"/>
      </w:tabs>
      <w:spacing w:beforeLines="50" w:afterLines="50"/>
      <w:ind w:right="-105" w:rightChars="-50"/>
      <w:outlineLvl w:val="1"/>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1.bin"/><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2020-06-23T02:50:00Z</dcterms:created>
  <dc:creator>Administrator</dc:creator>
  <cp:lastModifiedBy>Administrator</cp:lastModifiedBy>
  <dcterms:modified xsi:type="dcterms:W3CDTF">2020-07-24T06:44:10Z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