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单兵装具 技术规格书</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8920" w:type="dxa"/>
            <w:vAlign w:val="center"/>
          </w:tcPr>
          <w:p>
            <w:pPr>
              <w:pStyle w:val="2"/>
              <w:shd w:val="clear"/>
              <w:ind w:left="0" w:leftChars="0" w:firstLine="0" w:firstLineChars="0"/>
              <w:jc w:val="center"/>
              <w:rPr>
                <w:rFonts w:hint="eastAsia"/>
                <w:vertAlign w:val="baseline"/>
                <w:lang w:val="en-US" w:eastAsia="zh-CN"/>
              </w:rPr>
            </w:pPr>
            <w:r>
              <w:rPr>
                <w:rFonts w:hint="eastAsia" w:ascii="仿宋_GB2312" w:hAnsi="仿宋_GB2312" w:cs="仿宋_GB2312"/>
                <w:sz w:val="24"/>
                <w:szCs w:val="24"/>
                <w:highlight w:val="none"/>
                <w:vertAlign w:val="baseline"/>
                <w:lang w:val="en-US" w:eastAsia="zh-CN"/>
              </w:rPr>
              <w:drawing>
                <wp:inline distT="0" distB="0" distL="114300" distR="114300">
                  <wp:extent cx="557530" cy="419735"/>
                  <wp:effectExtent l="0" t="0" r="13970" b="18415"/>
                  <wp:docPr id="123" name="图片 123" descr="1587134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1587134219(1)"/>
                          <pic:cNvPicPr>
                            <a:picLocks noChangeAspect="1"/>
                          </pic:cNvPicPr>
                        </pic:nvPicPr>
                        <pic:blipFill>
                          <a:blip r:embed="rId6"/>
                          <a:stretch>
                            <a:fillRect/>
                          </a:stretch>
                        </pic:blipFill>
                        <pic:spPr>
                          <a:xfrm>
                            <a:off x="0" y="0"/>
                            <a:ext cx="557530" cy="419735"/>
                          </a:xfrm>
                          <a:prstGeom prst="rect">
                            <a:avLst/>
                          </a:prstGeom>
                        </pic:spPr>
                      </pic:pic>
                    </a:graphicData>
                  </a:graphic>
                </wp:inline>
              </w:drawing>
            </w:r>
            <w:r>
              <w:rPr>
                <w:rFonts w:hint="eastAsia" w:ascii="仿宋_GB2312" w:hAnsi="仿宋_GB2312" w:cs="仿宋_GB2312"/>
                <w:sz w:val="24"/>
                <w:szCs w:val="24"/>
                <w:highlight w:val="none"/>
                <w:vertAlign w:val="baseline"/>
                <w:lang w:val="en-US" w:eastAsia="zh-CN"/>
              </w:rPr>
              <w:drawing>
                <wp:inline distT="0" distB="0" distL="114300" distR="114300">
                  <wp:extent cx="1811020" cy="3020060"/>
                  <wp:effectExtent l="0" t="0" r="0" b="8890"/>
                  <wp:docPr id="125" name="图片 1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图片1"/>
                          <pic:cNvPicPr>
                            <a:picLocks noChangeAspect="1"/>
                          </pic:cNvPicPr>
                        </pic:nvPicPr>
                        <pic:blipFill>
                          <a:blip r:embed="rId7"/>
                          <a:stretch>
                            <a:fillRect/>
                          </a:stretch>
                        </pic:blipFill>
                        <pic:spPr>
                          <a:xfrm>
                            <a:off x="0" y="0"/>
                            <a:ext cx="1811020" cy="3020060"/>
                          </a:xfrm>
                          <a:prstGeom prst="rect">
                            <a:avLst/>
                          </a:prstGeom>
                        </pic:spPr>
                      </pic:pic>
                    </a:graphicData>
                  </a:graphic>
                </wp:inline>
              </w:drawing>
            </w:r>
          </w:p>
        </w:tc>
      </w:tr>
    </w:tbl>
    <w:p>
      <w:pPr>
        <w:pStyle w:val="35"/>
        <w:bidi w:val="0"/>
      </w:pPr>
      <w:r>
        <w:rPr>
          <w:rFonts w:hint="eastAsia"/>
          <w:lang w:val="en-US" w:eastAsia="zh-CN"/>
        </w:rPr>
        <w:t>单兵装具</w:t>
      </w:r>
      <w:r>
        <w:t>用途</w:t>
      </w:r>
    </w:p>
    <w:p>
      <w:pPr>
        <w:pStyle w:val="46"/>
        <w:bidi w:val="0"/>
      </w:pPr>
      <w:r>
        <w:t>组织开展实兵训练演习时，用于单兵穿戴后模拟单兵人员的防御效能及被打击后的现地显示效果，既可独立使用，也可与单兵模拟器材绑定使用，模拟人装结合作战效能和效果。</w:t>
      </w:r>
    </w:p>
    <w:p>
      <w:pPr>
        <w:pStyle w:val="35"/>
        <w:bidi w:val="0"/>
      </w:pPr>
      <w:r>
        <w:rPr>
          <w:rFonts w:hint="eastAsia"/>
          <w:lang w:val="en-US" w:eastAsia="zh-CN"/>
        </w:rPr>
        <w:t>单兵装具</w:t>
      </w:r>
      <w:r>
        <w:t>组成</w:t>
      </w:r>
    </w:p>
    <w:p>
      <w:pPr>
        <w:pStyle w:val="46"/>
        <w:bidi w:val="0"/>
      </w:pPr>
      <w:r>
        <w:rPr>
          <w:rFonts w:hint="eastAsia"/>
          <w:lang w:eastAsia="zh-CN"/>
        </w:rPr>
        <w:t>单兵装具</w:t>
      </w:r>
      <w:r>
        <w:t>主要由单兵头盔套、单兵背带、火工品、电池等组成。如下图所示。</w:t>
      </w:r>
    </w:p>
    <w:p>
      <w:pPr>
        <w:bidi w:val="0"/>
        <w:jc w:val="center"/>
      </w:pPr>
      <w:r>
        <w:rPr>
          <w:rFonts w:ascii="Calibri" w:hAnsi="Calibri" w:cs="Calibri"/>
        </w:rPr>
        <w:object>
          <v:shape id="_x0000_i1025" o:spt="75" type="#_x0000_t75" style="height:193.25pt;width:155.8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pStyle w:val="35"/>
        <w:bidi w:val="0"/>
      </w:pPr>
      <w:r>
        <w:rPr>
          <w:rFonts w:hint="eastAsia"/>
          <w:lang w:val="en-US" w:eastAsia="zh-CN"/>
        </w:rPr>
        <w:t>单兵装具</w:t>
      </w:r>
      <w:r>
        <w:rPr>
          <w:rFonts w:hint="eastAsia"/>
          <w:lang w:eastAsia="zh-CN"/>
        </w:rPr>
        <w:t>功能</w:t>
      </w:r>
    </w:p>
    <w:p>
      <w:pPr>
        <w:pStyle w:val="37"/>
        <w:bidi w:val="0"/>
      </w:pPr>
      <w:r>
        <w:t>伤情模拟</w:t>
      </w:r>
    </w:p>
    <w:p>
      <w:pPr>
        <w:pStyle w:val="40"/>
        <w:numPr>
          <w:ilvl w:val="0"/>
          <w:numId w:val="8"/>
        </w:numPr>
        <w:bidi w:val="0"/>
      </w:pPr>
      <w:r>
        <w:rPr>
          <w:rFonts w:hint="eastAsia"/>
          <w:lang w:eastAsia="zh-CN"/>
        </w:rPr>
        <w:t>单兵装具</w:t>
      </w:r>
      <w:r>
        <w:t>能模拟人员被各类直瞄、间瞄和地爆等有效武器打击后的杀伤效果，单次打击模拟伤情输出包括命中部位、伤类、命中伤势等基本信息，输出的信息名称、取值与LSJT-SJBZ-01《陆军实兵交战系统实体交互数据定义》中“5.23命中伤势”定义相一致，具有复合毁伤解算输出能力；</w:t>
      </w:r>
    </w:p>
    <w:p>
      <w:pPr>
        <w:pStyle w:val="40"/>
        <w:numPr>
          <w:ilvl w:val="0"/>
          <w:numId w:val="8"/>
        </w:numPr>
        <w:bidi w:val="0"/>
      </w:pPr>
      <w:r>
        <w:rPr>
          <w:rFonts w:hint="eastAsia"/>
          <w:lang w:eastAsia="zh-CN"/>
        </w:rPr>
        <w:t>单兵装具</w:t>
      </w:r>
      <w:r>
        <w:t>具备水平360°，垂直±</w:t>
      </w:r>
      <w:r>
        <w:rPr>
          <w:rFonts w:hint="eastAsia"/>
          <w:lang w:val="en-US" w:eastAsia="zh-CN"/>
        </w:rPr>
        <w:t>45</w:t>
      </w:r>
      <w:r>
        <w:t>°的激光接收能力；</w:t>
      </w:r>
    </w:p>
    <w:p>
      <w:pPr>
        <w:pStyle w:val="40"/>
        <w:numPr>
          <w:ilvl w:val="0"/>
          <w:numId w:val="8"/>
        </w:numPr>
        <w:bidi w:val="0"/>
      </w:pPr>
      <w:r>
        <w:rPr>
          <w:rFonts w:hint="eastAsia"/>
          <w:lang w:eastAsia="zh-CN"/>
        </w:rPr>
        <w:t>单兵装具</w:t>
      </w:r>
      <w:r>
        <w:t>激光接收器在接收到有效数据4字节的数据帧时，解码时间10ms；</w:t>
      </w:r>
    </w:p>
    <w:p>
      <w:pPr>
        <w:pStyle w:val="40"/>
        <w:numPr>
          <w:ilvl w:val="0"/>
          <w:numId w:val="8"/>
        </w:numPr>
        <w:bidi w:val="0"/>
      </w:pPr>
      <w:r>
        <w:t>在频率1KHz，脉宽2us的噪声干扰背景下，</w:t>
      </w:r>
      <w:r>
        <w:rPr>
          <w:rFonts w:hint="eastAsia"/>
          <w:lang w:eastAsia="zh-CN"/>
        </w:rPr>
        <w:t>单兵装具激光接收解码成功率99%；</w:t>
      </w:r>
    </w:p>
    <w:p>
      <w:pPr>
        <w:pStyle w:val="40"/>
        <w:numPr>
          <w:ilvl w:val="0"/>
          <w:numId w:val="8"/>
        </w:numPr>
        <w:bidi w:val="0"/>
      </w:pPr>
      <w:r>
        <w:rPr>
          <w:rFonts w:hint="eastAsia"/>
          <w:lang w:eastAsia="zh-CN"/>
        </w:rPr>
        <w:t>单兵装具</w:t>
      </w:r>
      <w:r>
        <w:rPr>
          <w:rFonts w:hint="eastAsia"/>
        </w:rPr>
        <w:t>的多个</w:t>
      </w:r>
      <w:r>
        <w:t>激光接收器同时接收到同一</w:t>
      </w:r>
      <w:r>
        <w:rPr>
          <w:rFonts w:hint="eastAsia"/>
        </w:rPr>
        <w:t>激光束</w:t>
      </w:r>
      <w:r>
        <w:t>时，以激光</w:t>
      </w:r>
      <w:r>
        <w:rPr>
          <w:rFonts w:hint="eastAsia"/>
        </w:rPr>
        <w:t>接收器</w:t>
      </w:r>
      <w:r>
        <w:t>的中心位置为实际命中位置；</w:t>
      </w:r>
    </w:p>
    <w:p>
      <w:pPr>
        <w:pStyle w:val="40"/>
        <w:numPr>
          <w:ilvl w:val="0"/>
          <w:numId w:val="8"/>
        </w:numPr>
        <w:bidi w:val="0"/>
      </w:pPr>
      <w:r>
        <w:t>在未得到有效救治时，能模拟各类伤势随时间的自然恶化效果；</w:t>
      </w:r>
    </w:p>
    <w:p>
      <w:pPr>
        <w:pStyle w:val="40"/>
        <w:numPr>
          <w:ilvl w:val="0"/>
          <w:numId w:val="8"/>
        </w:numPr>
        <w:bidi w:val="0"/>
      </w:pPr>
      <w:r>
        <w:rPr>
          <w:rFonts w:hint="eastAsia"/>
          <w:lang w:eastAsia="zh-CN"/>
        </w:rPr>
        <w:t>单兵装具</w:t>
      </w:r>
      <w:r>
        <w:t>提供与卫勤救护模拟终端的交互接口并内置卫勤救护模型，逼真模拟有效救护行动对人员伤情恶化的阻滞效果；</w:t>
      </w:r>
    </w:p>
    <w:p>
      <w:pPr>
        <w:pStyle w:val="40"/>
        <w:numPr>
          <w:ilvl w:val="0"/>
          <w:numId w:val="8"/>
        </w:numPr>
        <w:bidi w:val="0"/>
      </w:pPr>
      <w:r>
        <w:t>当人员丧失战斗能力时，</w:t>
      </w:r>
      <w:r>
        <w:rPr>
          <w:rFonts w:hint="eastAsia"/>
          <w:lang w:eastAsia="zh-CN"/>
        </w:rPr>
        <w:t>单兵装具</w:t>
      </w:r>
      <w:r>
        <w:t>能自动使绑定的模拟器材失效；</w:t>
      </w:r>
    </w:p>
    <w:p>
      <w:pPr>
        <w:pStyle w:val="40"/>
        <w:numPr>
          <w:ilvl w:val="0"/>
          <w:numId w:val="8"/>
        </w:numPr>
        <w:bidi w:val="0"/>
      </w:pPr>
      <w:r>
        <w:t>当人员进入工事（车辆）后，</w:t>
      </w:r>
      <w:r>
        <w:rPr>
          <w:rFonts w:hint="eastAsia"/>
          <w:lang w:eastAsia="zh-CN"/>
        </w:rPr>
        <w:t>单兵装具</w:t>
      </w:r>
      <w:r>
        <w:t>能与工事（车辆）模拟器实现自动关联，模拟工事（车辆）被打击后对内部人员的连带杀伤效果；</w:t>
      </w:r>
    </w:p>
    <w:p>
      <w:pPr>
        <w:pStyle w:val="40"/>
        <w:numPr>
          <w:ilvl w:val="0"/>
          <w:numId w:val="8"/>
        </w:numPr>
        <w:bidi w:val="0"/>
      </w:pPr>
      <w:r>
        <w:rPr>
          <w:rFonts w:hint="eastAsia"/>
          <w:lang w:eastAsia="zh-CN"/>
        </w:rPr>
        <w:t>单兵装具</w:t>
      </w:r>
      <w:r>
        <w:t>提供软件升级外部接口，满足毁伤模型快速更新要求。</w:t>
      </w:r>
    </w:p>
    <w:p>
      <w:pPr>
        <w:pStyle w:val="37"/>
        <w:bidi w:val="0"/>
      </w:pPr>
      <w:r>
        <w:t>命中提示</w:t>
      </w:r>
    </w:p>
    <w:p>
      <w:pPr>
        <w:pStyle w:val="46"/>
        <w:bidi w:val="0"/>
      </w:pPr>
      <w:r>
        <w:rPr>
          <w:rFonts w:hint="eastAsia"/>
          <w:lang w:eastAsia="zh-CN"/>
        </w:rPr>
        <w:t>单兵装具</w:t>
      </w:r>
      <w:r>
        <w:t>能够通过声音、灯光</w:t>
      </w:r>
      <w:r>
        <w:rPr>
          <w:rFonts w:hint="eastAsia"/>
          <w:lang w:eastAsia="zh-CN"/>
        </w:rPr>
        <w:t>、</w:t>
      </w:r>
      <w:r>
        <w:rPr>
          <w:rFonts w:hint="eastAsia"/>
          <w:lang w:val="en-US" w:eastAsia="zh-CN"/>
        </w:rPr>
        <w:t>振动</w:t>
      </w:r>
      <w:r>
        <w:t>和烟雾（红色或蓝色）等多种方式显示人员被命中效果。</w:t>
      </w:r>
    </w:p>
    <w:p>
      <w:pPr>
        <w:pStyle w:val="37"/>
        <w:bidi w:val="0"/>
      </w:pPr>
      <w:r>
        <w:t>告警提示</w:t>
      </w:r>
    </w:p>
    <w:p>
      <w:pPr>
        <w:pStyle w:val="40"/>
        <w:numPr>
          <w:ilvl w:val="0"/>
          <w:numId w:val="9"/>
        </w:numPr>
        <w:bidi w:val="0"/>
        <w:ind w:left="425" w:leftChars="0" w:hanging="425" w:firstLineChars="0"/>
      </w:pPr>
      <w:r>
        <w:rPr>
          <w:rFonts w:hint="eastAsia"/>
          <w:lang w:eastAsia="zh-CN"/>
        </w:rPr>
        <w:t>单兵装具</w:t>
      </w:r>
      <w:r>
        <w:t>能模拟绑定武器发射时的发射声音；</w:t>
      </w:r>
    </w:p>
    <w:p>
      <w:pPr>
        <w:pStyle w:val="40"/>
        <w:numPr>
          <w:ilvl w:val="0"/>
          <w:numId w:val="9"/>
        </w:numPr>
        <w:bidi w:val="0"/>
        <w:ind w:left="425" w:leftChars="0" w:hanging="425" w:firstLineChars="0"/>
      </w:pPr>
      <w:r>
        <w:rPr>
          <w:rFonts w:hint="eastAsia"/>
          <w:lang w:eastAsia="zh-CN"/>
        </w:rPr>
        <w:t>单兵装具</w:t>
      </w:r>
      <w:r>
        <w:t>能模拟人员受到火力覆盖时的战场音效；</w:t>
      </w:r>
    </w:p>
    <w:p>
      <w:pPr>
        <w:pStyle w:val="40"/>
        <w:numPr>
          <w:ilvl w:val="0"/>
          <w:numId w:val="9"/>
        </w:numPr>
        <w:bidi w:val="0"/>
        <w:ind w:left="425" w:leftChars="0" w:hanging="425" w:firstLineChars="0"/>
      </w:pPr>
      <w:r>
        <w:rPr>
          <w:rFonts w:hint="eastAsia"/>
          <w:lang w:eastAsia="zh-CN"/>
        </w:rPr>
        <w:t>单兵装具</w:t>
      </w:r>
      <w:r>
        <w:t>能采用语音播报方式对人员被命中、弹药缺失、电量过低、连接异常等事件进行告警提示。</w:t>
      </w:r>
    </w:p>
    <w:p>
      <w:pPr>
        <w:pStyle w:val="40"/>
        <w:numPr>
          <w:ilvl w:val="0"/>
          <w:numId w:val="9"/>
        </w:numPr>
        <w:bidi w:val="0"/>
        <w:ind w:left="425" w:leftChars="0" w:hanging="425" w:firstLineChars="0"/>
      </w:pPr>
      <w:r>
        <w:rPr>
          <w:rFonts w:hint="eastAsia"/>
        </w:rPr>
        <w:t>产品能实时检测电池电量，并能通过指示灯实现电量过低告警。</w:t>
      </w:r>
    </w:p>
    <w:p>
      <w:pPr>
        <w:pStyle w:val="37"/>
        <w:bidi w:val="0"/>
      </w:pPr>
      <w:r>
        <w:t>状态显示</w:t>
      </w:r>
    </w:p>
    <w:p>
      <w:pPr>
        <w:pStyle w:val="40"/>
        <w:numPr>
          <w:ilvl w:val="0"/>
          <w:numId w:val="10"/>
        </w:numPr>
        <w:bidi w:val="0"/>
        <w:ind w:left="425" w:leftChars="0" w:hanging="425" w:firstLineChars="0"/>
      </w:pPr>
      <w:r>
        <w:rPr>
          <w:rFonts w:hint="eastAsia"/>
          <w:lang w:eastAsia="zh-CN"/>
        </w:rPr>
        <w:t>单兵装具</w:t>
      </w:r>
      <w:r>
        <w:t>能对自身状态信息进行实时查询，</w:t>
      </w:r>
      <w:r>
        <w:rPr>
          <w:rFonts w:hint="eastAsia"/>
        </w:rPr>
        <w:t>并采用图形化方式</w:t>
      </w:r>
      <w:r>
        <w:t>显示以下</w:t>
      </w:r>
      <w:r>
        <w:rPr>
          <w:rFonts w:hint="eastAsia"/>
        </w:rPr>
        <w:t>状态</w:t>
      </w:r>
      <w:r>
        <w:t>信息：</w:t>
      </w:r>
    </w:p>
    <w:p>
      <w:pPr>
        <w:pStyle w:val="40"/>
        <w:numPr>
          <w:ilvl w:val="0"/>
          <w:numId w:val="11"/>
        </w:numPr>
        <w:bidi w:val="0"/>
      </w:pPr>
      <w:r>
        <w:t>人员身份信息</w:t>
      </w:r>
    </w:p>
    <w:p>
      <w:pPr>
        <w:pStyle w:val="40"/>
        <w:numPr>
          <w:ilvl w:val="0"/>
          <w:numId w:val="11"/>
        </w:numPr>
        <w:bidi w:val="0"/>
      </w:pPr>
      <w:r>
        <w:t>绑定武器类型</w:t>
      </w:r>
    </w:p>
    <w:p>
      <w:pPr>
        <w:pStyle w:val="40"/>
        <w:numPr>
          <w:ilvl w:val="0"/>
          <w:numId w:val="11"/>
        </w:numPr>
        <w:bidi w:val="0"/>
      </w:pPr>
      <w:r>
        <w:t>绑定武器弹药类型和剩余弹量</w:t>
      </w:r>
    </w:p>
    <w:p>
      <w:pPr>
        <w:pStyle w:val="40"/>
        <w:numPr>
          <w:ilvl w:val="0"/>
          <w:numId w:val="11"/>
        </w:numPr>
        <w:bidi w:val="0"/>
      </w:pPr>
      <w:r>
        <w:t>伤亡信息（含伤类、伤部、伤势等）</w:t>
      </w:r>
    </w:p>
    <w:p>
      <w:pPr>
        <w:pStyle w:val="40"/>
        <w:numPr>
          <w:ilvl w:val="0"/>
          <w:numId w:val="11"/>
        </w:numPr>
        <w:bidi w:val="0"/>
      </w:pPr>
      <w:r>
        <w:t>通信状态（包括当前与主台间的通信信号强度以及组件间无线连接状态等）</w:t>
      </w:r>
    </w:p>
    <w:p>
      <w:pPr>
        <w:pStyle w:val="40"/>
        <w:numPr>
          <w:ilvl w:val="0"/>
          <w:numId w:val="11"/>
        </w:numPr>
        <w:bidi w:val="0"/>
      </w:pPr>
      <w:r>
        <w:t>当前定位状态</w:t>
      </w:r>
    </w:p>
    <w:p>
      <w:pPr>
        <w:pStyle w:val="40"/>
        <w:numPr>
          <w:ilvl w:val="0"/>
          <w:numId w:val="11"/>
        </w:numPr>
        <w:bidi w:val="0"/>
      </w:pPr>
      <w:r>
        <w:t>剩余电量</w:t>
      </w:r>
    </w:p>
    <w:p>
      <w:pPr>
        <w:pStyle w:val="40"/>
        <w:numPr>
          <w:ilvl w:val="0"/>
          <w:numId w:val="0"/>
        </w:numPr>
        <w:bidi w:val="0"/>
        <w:ind w:leftChars="0"/>
      </w:pPr>
      <w:r>
        <w:rPr>
          <w:rFonts w:hint="eastAsia"/>
          <w:lang w:val="en-US" w:eastAsia="zh-CN"/>
        </w:rPr>
        <w:t>b.</w:t>
      </w:r>
      <w:r>
        <w:rPr>
          <w:rFonts w:hint="eastAsia"/>
        </w:rPr>
        <w:t>显示设备硬件要求：</w:t>
      </w:r>
    </w:p>
    <w:p>
      <w:pPr>
        <w:pStyle w:val="40"/>
        <w:numPr>
          <w:ilvl w:val="0"/>
          <w:numId w:val="11"/>
        </w:numPr>
        <w:bidi w:val="0"/>
      </w:pPr>
      <w:r>
        <w:rPr>
          <w:rFonts w:hint="eastAsia"/>
        </w:rPr>
        <w:t>屏幕类型：全彩液晶屏</w:t>
      </w:r>
    </w:p>
    <w:p>
      <w:pPr>
        <w:pStyle w:val="40"/>
        <w:numPr>
          <w:ilvl w:val="0"/>
          <w:numId w:val="11"/>
        </w:numPr>
        <w:bidi w:val="0"/>
      </w:pPr>
      <w:r>
        <w:rPr>
          <w:rFonts w:hint="eastAsia"/>
        </w:rPr>
        <w:t>控制方式：电容触摸式</w:t>
      </w:r>
    </w:p>
    <w:p>
      <w:pPr>
        <w:pStyle w:val="40"/>
        <w:numPr>
          <w:ilvl w:val="0"/>
          <w:numId w:val="11"/>
        </w:numPr>
        <w:bidi w:val="0"/>
      </w:pPr>
      <w:r>
        <w:rPr>
          <w:rFonts w:hint="eastAsia"/>
        </w:rPr>
        <w:t>显示屏尺寸：2.4英寸</w:t>
      </w:r>
    </w:p>
    <w:p>
      <w:pPr>
        <w:pStyle w:val="40"/>
        <w:numPr>
          <w:ilvl w:val="0"/>
          <w:numId w:val="11"/>
        </w:numPr>
        <w:bidi w:val="0"/>
      </w:pPr>
      <w:r>
        <w:rPr>
          <w:rFonts w:hint="eastAsia"/>
        </w:rPr>
        <w:t>显示屏分辨率：240*420</w:t>
      </w:r>
    </w:p>
    <w:p>
      <w:pPr>
        <w:pStyle w:val="40"/>
        <w:numPr>
          <w:ilvl w:val="0"/>
          <w:numId w:val="11"/>
        </w:numPr>
        <w:bidi w:val="0"/>
      </w:pPr>
      <w:r>
        <w:rPr>
          <w:rFonts w:hint="eastAsia"/>
        </w:rPr>
        <w:t>升级接口：</w:t>
      </w:r>
      <w:r>
        <w:t>MircroUSB</w:t>
      </w:r>
    </w:p>
    <w:p>
      <w:pPr>
        <w:pStyle w:val="37"/>
        <w:bidi w:val="0"/>
      </w:pPr>
      <w:r>
        <w:t>昼夜</w:t>
      </w:r>
      <w:r>
        <w:rPr>
          <w:rFonts w:hint="eastAsia"/>
        </w:rPr>
        <w:t>模式</w:t>
      </w:r>
      <w:r>
        <w:t>切换</w:t>
      </w:r>
    </w:p>
    <w:p>
      <w:pPr>
        <w:pStyle w:val="40"/>
        <w:numPr>
          <w:ilvl w:val="0"/>
          <w:numId w:val="12"/>
        </w:numPr>
        <w:bidi w:val="0"/>
      </w:pPr>
      <w:r>
        <w:rPr>
          <w:rFonts w:hint="eastAsia"/>
          <w:lang w:eastAsia="zh-CN"/>
        </w:rPr>
        <w:t>单兵装具</w:t>
      </w:r>
      <w:r>
        <w:t>能响应远程或现地模式切换指令，自动完成昼夜模式切换；</w:t>
      </w:r>
    </w:p>
    <w:p>
      <w:pPr>
        <w:pStyle w:val="40"/>
        <w:numPr>
          <w:ilvl w:val="0"/>
          <w:numId w:val="12"/>
        </w:numPr>
        <w:bidi w:val="0"/>
      </w:pPr>
      <w:r>
        <w:rPr>
          <w:rFonts w:hint="eastAsia"/>
          <w:lang w:eastAsia="zh-CN"/>
        </w:rPr>
        <w:t>单兵装具</w:t>
      </w:r>
      <w:r>
        <w:t>进入夜间模式时，能自动调低语音提示音量和相关状态指示灯亮度。</w:t>
      </w:r>
    </w:p>
    <w:p>
      <w:pPr>
        <w:pStyle w:val="37"/>
        <w:bidi w:val="0"/>
      </w:pPr>
      <w:r>
        <w:rPr>
          <w:rFonts w:hint="eastAsia"/>
        </w:rPr>
        <w:t>工作状态类型</w:t>
      </w:r>
    </w:p>
    <w:p>
      <w:pPr>
        <w:pStyle w:val="46"/>
        <w:bidi w:val="0"/>
      </w:pPr>
      <w:r>
        <w:rPr>
          <w:rFonts w:hint="eastAsia"/>
          <w:lang w:eastAsia="zh-CN"/>
        </w:rPr>
        <w:t>单兵装具</w:t>
      </w:r>
      <w:r>
        <w:rPr>
          <w:rFonts w:hint="eastAsia"/>
          <w:lang w:val="en-US" w:eastAsia="zh-CN"/>
        </w:rPr>
        <w:t>具有</w:t>
      </w:r>
      <w:r>
        <w:rPr>
          <w:rFonts w:hint="eastAsia"/>
        </w:rPr>
        <w:t>训练状态与演习状态。</w:t>
      </w:r>
    </w:p>
    <w:p>
      <w:pPr>
        <w:pStyle w:val="37"/>
        <w:bidi w:val="0"/>
      </w:pPr>
      <w:r>
        <w:t>远程控制响应</w:t>
      </w:r>
    </w:p>
    <w:p>
      <w:pPr>
        <w:pStyle w:val="40"/>
        <w:numPr>
          <w:ilvl w:val="0"/>
          <w:numId w:val="13"/>
        </w:numPr>
        <w:bidi w:val="0"/>
      </w:pPr>
      <w:r>
        <w:rPr>
          <w:rFonts w:hint="eastAsia"/>
          <w:lang w:eastAsia="zh-CN"/>
        </w:rPr>
        <w:t>单兵装具</w:t>
      </w:r>
      <w:r>
        <w:t>能够接收主控软件在演习前下发的演习参数预置指令，完成密钥、弹药等参数预置和</w:t>
      </w:r>
      <w:r>
        <w:rPr>
          <w:rFonts w:hint="eastAsia"/>
        </w:rPr>
        <w:t>工作状态（训练状态与演习状态）</w:t>
      </w:r>
      <w:r>
        <w:t>自动切换；</w:t>
      </w:r>
    </w:p>
    <w:p>
      <w:pPr>
        <w:pStyle w:val="40"/>
        <w:numPr>
          <w:ilvl w:val="0"/>
          <w:numId w:val="13"/>
        </w:numPr>
        <w:bidi w:val="0"/>
      </w:pPr>
      <w:r>
        <w:rPr>
          <w:rFonts w:hint="eastAsia"/>
          <w:lang w:eastAsia="zh-CN"/>
        </w:rPr>
        <w:t>单兵装具</w:t>
      </w:r>
      <w:r>
        <w:t>能够在演习过程中实时接收主控软件下发的弹药参数设置无线指令，实现弹药的远程加载及补给；</w:t>
      </w:r>
    </w:p>
    <w:p>
      <w:pPr>
        <w:pStyle w:val="40"/>
        <w:numPr>
          <w:ilvl w:val="0"/>
          <w:numId w:val="13"/>
        </w:numPr>
        <w:bidi w:val="0"/>
      </w:pPr>
      <w:r>
        <w:rPr>
          <w:rFonts w:hint="eastAsia"/>
          <w:lang w:eastAsia="zh-CN"/>
        </w:rPr>
        <w:t>单兵装具</w:t>
      </w:r>
      <w:r>
        <w:t>能够接收主控软件下发的导控裁决无线指令，实现远程</w:t>
      </w:r>
      <w:r>
        <w:rPr>
          <w:rFonts w:hint="eastAsia"/>
        </w:rPr>
        <w:t>裁决</w:t>
      </w:r>
      <w:r>
        <w:t>操作；</w:t>
      </w:r>
    </w:p>
    <w:p>
      <w:pPr>
        <w:pStyle w:val="40"/>
        <w:numPr>
          <w:ilvl w:val="0"/>
          <w:numId w:val="13"/>
        </w:numPr>
        <w:bidi w:val="0"/>
      </w:pPr>
      <w:r>
        <w:rPr>
          <w:rFonts w:hint="eastAsia"/>
          <w:lang w:eastAsia="zh-CN"/>
        </w:rPr>
        <w:t>单兵装具</w:t>
      </w:r>
      <w:r>
        <w:t>能够接收主控软件下发的演习密钥设置无线指令，并能将密钥信息自动转发至武器发射机；</w:t>
      </w:r>
    </w:p>
    <w:p>
      <w:pPr>
        <w:pStyle w:val="40"/>
        <w:numPr>
          <w:ilvl w:val="0"/>
          <w:numId w:val="13"/>
        </w:numPr>
        <w:bidi w:val="0"/>
      </w:pPr>
      <w:r>
        <w:rPr>
          <w:rFonts w:hint="eastAsia"/>
          <w:lang w:eastAsia="zh-CN"/>
        </w:rPr>
        <w:t>单兵装具</w:t>
      </w:r>
      <w:r>
        <w:t>能够接收主控软件下发的昼夜工作模式切换无线指令，实现昼夜模式自动切换。</w:t>
      </w:r>
    </w:p>
    <w:p>
      <w:pPr>
        <w:pStyle w:val="37"/>
        <w:bidi w:val="0"/>
      </w:pPr>
      <w:r>
        <w:t>现地调理响应</w:t>
      </w:r>
    </w:p>
    <w:p>
      <w:pPr>
        <w:pStyle w:val="40"/>
        <w:numPr>
          <w:ilvl w:val="0"/>
          <w:numId w:val="14"/>
        </w:numPr>
        <w:bidi w:val="0"/>
        <w:ind w:left="425" w:leftChars="0" w:hanging="425" w:firstLineChars="0"/>
      </w:pPr>
      <w:r>
        <w:rPr>
          <w:rFonts w:hint="eastAsia"/>
          <w:lang w:eastAsia="zh-CN"/>
        </w:rPr>
        <w:t>单兵装具</w:t>
      </w:r>
      <w:r>
        <w:t>能够接收装弹采集器在演习前发送的演习参数预置指令，完成密钥、弹药等参数预置和</w:t>
      </w:r>
      <w:r>
        <w:rPr>
          <w:rFonts w:hint="eastAsia"/>
        </w:rPr>
        <w:t>工作状态（训练状态与演习状态）</w:t>
      </w:r>
      <w:r>
        <w:t>自动切换；</w:t>
      </w:r>
    </w:p>
    <w:p>
      <w:pPr>
        <w:pStyle w:val="40"/>
        <w:numPr>
          <w:ilvl w:val="0"/>
          <w:numId w:val="14"/>
        </w:numPr>
        <w:bidi w:val="0"/>
        <w:ind w:left="425" w:leftChars="0" w:hanging="425" w:firstLineChars="0"/>
      </w:pPr>
      <w:r>
        <w:rPr>
          <w:rFonts w:hint="eastAsia"/>
          <w:lang w:eastAsia="zh-CN"/>
        </w:rPr>
        <w:t>单兵装具</w:t>
      </w:r>
      <w:r>
        <w:t>能够在演习过程中实时接收弹药输送车模拟终端的弹药参数设置指令，实现弹药的现地加载及补给；</w:t>
      </w:r>
    </w:p>
    <w:p>
      <w:pPr>
        <w:pStyle w:val="40"/>
        <w:numPr>
          <w:ilvl w:val="0"/>
          <w:numId w:val="14"/>
        </w:numPr>
        <w:bidi w:val="0"/>
        <w:ind w:left="425" w:leftChars="0" w:hanging="425" w:firstLineChars="0"/>
      </w:pPr>
      <w:r>
        <w:rPr>
          <w:rFonts w:hint="eastAsia"/>
          <w:lang w:eastAsia="zh-CN"/>
        </w:rPr>
        <w:t>单兵装具</w:t>
      </w:r>
      <w:r>
        <w:t>能够接收调理枪的导控裁决指令，实现现地</w:t>
      </w:r>
      <w:r>
        <w:rPr>
          <w:rFonts w:hint="eastAsia"/>
        </w:rPr>
        <w:t>裁决</w:t>
      </w:r>
      <w:r>
        <w:t>等操作；</w:t>
      </w:r>
    </w:p>
    <w:p>
      <w:pPr>
        <w:pStyle w:val="40"/>
        <w:numPr>
          <w:ilvl w:val="0"/>
          <w:numId w:val="14"/>
        </w:numPr>
        <w:bidi w:val="0"/>
        <w:ind w:left="425" w:leftChars="0" w:hanging="425" w:firstLineChars="0"/>
      </w:pPr>
      <w:r>
        <w:rPr>
          <w:rFonts w:hint="eastAsia"/>
          <w:lang w:eastAsia="zh-CN"/>
        </w:rPr>
        <w:t>单兵装具</w:t>
      </w:r>
      <w:r>
        <w:t>能够接收调理枪的模式切换指令，实现昼夜模式的现地切换。</w:t>
      </w:r>
    </w:p>
    <w:p>
      <w:pPr>
        <w:pStyle w:val="37"/>
        <w:bidi w:val="0"/>
      </w:pPr>
      <w:r>
        <w:t>演训信息采集上传</w:t>
      </w:r>
    </w:p>
    <w:p>
      <w:pPr>
        <w:pStyle w:val="40"/>
        <w:numPr>
          <w:ilvl w:val="0"/>
          <w:numId w:val="15"/>
        </w:numPr>
        <w:bidi w:val="0"/>
        <w:ind w:left="425" w:leftChars="0" w:hanging="425" w:firstLineChars="0"/>
      </w:pPr>
      <w:r>
        <w:rPr>
          <w:rFonts w:hint="eastAsia"/>
          <w:lang w:eastAsia="zh-CN"/>
        </w:rPr>
        <w:t>单兵装具</w:t>
      </w:r>
      <w:r>
        <w:t>能按预设的时间间隔定时上传人员状态信息，包括身份信息、伤势信息和位置信息等，</w:t>
      </w:r>
      <w:r>
        <w:rPr>
          <w:rFonts w:hint="eastAsia"/>
          <w:highlight w:val="none"/>
          <w:lang w:val="en-US" w:eastAsia="zh-CN"/>
        </w:rPr>
        <w:t>定位模块采用北斗/GPS双模定位</w:t>
      </w:r>
      <w:r>
        <w:t>，</w:t>
      </w:r>
      <w:r>
        <w:rPr>
          <w:rFonts w:hint="eastAsia"/>
          <w:lang w:eastAsia="zh-CN"/>
        </w:rPr>
        <w:t>定位精度</w:t>
      </w:r>
      <w:r>
        <w:rPr>
          <w:rFonts w:hint="eastAsia"/>
          <w:lang w:val="en-US" w:eastAsia="zh-CN"/>
        </w:rPr>
        <w:t>5</w:t>
      </w:r>
      <w:r>
        <w:rPr>
          <w:rFonts w:hint="eastAsia"/>
          <w:lang w:eastAsia="zh-CN"/>
        </w:rPr>
        <w:t>m</w:t>
      </w:r>
      <w:r>
        <w:t>（RMS）；</w:t>
      </w:r>
    </w:p>
    <w:p>
      <w:pPr>
        <w:pStyle w:val="40"/>
        <w:numPr>
          <w:ilvl w:val="0"/>
          <w:numId w:val="15"/>
        </w:numPr>
        <w:bidi w:val="0"/>
        <w:ind w:left="425" w:leftChars="0" w:hanging="425" w:firstLineChars="0"/>
      </w:pPr>
      <w:r>
        <w:rPr>
          <w:rFonts w:hint="eastAsia"/>
          <w:lang w:eastAsia="zh-CN"/>
        </w:rPr>
        <w:t>单兵装具</w:t>
      </w:r>
      <w:r>
        <w:rPr>
          <w:rFonts w:hint="eastAsia"/>
        </w:rPr>
        <w:t>上传状态信息最长时间间隔为15s；</w:t>
      </w:r>
    </w:p>
    <w:p>
      <w:pPr>
        <w:pStyle w:val="40"/>
        <w:numPr>
          <w:ilvl w:val="0"/>
          <w:numId w:val="15"/>
        </w:numPr>
        <w:bidi w:val="0"/>
        <w:ind w:left="425" w:leftChars="0" w:hanging="425" w:firstLineChars="0"/>
      </w:pPr>
      <w:r>
        <w:rPr>
          <w:rFonts w:hint="eastAsia"/>
          <w:lang w:eastAsia="zh-CN"/>
        </w:rPr>
        <w:t>单兵装具</w:t>
      </w:r>
      <w:r>
        <w:t>能按预设的时间间隔定时上传绑定装备状态信息，如武器类型、弹药类型和剩余弹量等；</w:t>
      </w:r>
    </w:p>
    <w:p>
      <w:pPr>
        <w:pStyle w:val="40"/>
        <w:numPr>
          <w:ilvl w:val="0"/>
          <w:numId w:val="15"/>
        </w:numPr>
        <w:bidi w:val="0"/>
        <w:ind w:left="425" w:leftChars="0" w:hanging="425" w:firstLineChars="0"/>
      </w:pPr>
      <w:r>
        <w:rPr>
          <w:rFonts w:hint="eastAsia"/>
          <w:lang w:eastAsia="zh-CN"/>
        </w:rPr>
        <w:t>单兵装具</w:t>
      </w:r>
      <w:r>
        <w:rPr>
          <w:rFonts w:hint="eastAsia"/>
        </w:rPr>
        <w:t>与</w:t>
      </w:r>
      <w:r>
        <w:t>工兵模拟</w:t>
      </w:r>
      <w:r>
        <w:rPr>
          <w:rFonts w:hint="eastAsia"/>
        </w:rPr>
        <w:t>终端绑定</w:t>
      </w:r>
      <w:r>
        <w:t>使用时，能够上传布</w:t>
      </w:r>
      <w:r>
        <w:rPr>
          <w:rFonts w:hint="eastAsia"/>
        </w:rPr>
        <w:t>、</w:t>
      </w:r>
      <w:r>
        <w:t>排雷</w:t>
      </w:r>
      <w:r>
        <w:rPr>
          <w:rFonts w:hint="eastAsia"/>
        </w:rPr>
        <w:t>信息</w:t>
      </w:r>
      <w:r>
        <w:t>（含</w:t>
      </w:r>
      <w:r>
        <w:rPr>
          <w:rFonts w:hint="eastAsia"/>
        </w:rPr>
        <w:t>地雷</w:t>
      </w:r>
      <w:r>
        <w:t>类型、地雷编号、位置</w:t>
      </w:r>
      <w:r>
        <w:rPr>
          <w:rFonts w:hint="eastAsia"/>
        </w:rPr>
        <w:t>信息</w:t>
      </w:r>
      <w:r>
        <w:t>和时间信息等）；</w:t>
      </w:r>
    </w:p>
    <w:p>
      <w:pPr>
        <w:pStyle w:val="40"/>
        <w:numPr>
          <w:ilvl w:val="0"/>
          <w:numId w:val="15"/>
        </w:numPr>
        <w:bidi w:val="0"/>
        <w:ind w:left="425" w:leftChars="0" w:hanging="425" w:firstLineChars="0"/>
      </w:pPr>
      <w:r>
        <w:rPr>
          <w:rFonts w:hint="eastAsia"/>
          <w:lang w:eastAsia="zh-CN"/>
        </w:rPr>
        <w:t>单兵装具</w:t>
      </w:r>
      <w:r>
        <w:t>与迫击炮</w:t>
      </w:r>
      <w:r>
        <w:rPr>
          <w:rFonts w:hint="eastAsia"/>
        </w:rPr>
        <w:t>模拟</w:t>
      </w:r>
      <w:r>
        <w:t>终端绑定使用时，能够上传</w:t>
      </w:r>
      <w:r>
        <w:rPr>
          <w:rFonts w:hint="eastAsia"/>
        </w:rPr>
        <w:t>迫击炮发射</w:t>
      </w:r>
      <w:r>
        <w:t>信息（含</w:t>
      </w:r>
      <w:r>
        <w:rPr>
          <w:rFonts w:hint="eastAsia"/>
        </w:rPr>
        <w:t>射击</w:t>
      </w:r>
      <w:r>
        <w:t>诸元、射击时间</w:t>
      </w:r>
      <w:r>
        <w:rPr>
          <w:rFonts w:hint="eastAsia"/>
        </w:rPr>
        <w:t>、</w:t>
      </w:r>
      <w:r>
        <w:t>射击地理位置等）；</w:t>
      </w:r>
    </w:p>
    <w:p>
      <w:pPr>
        <w:pStyle w:val="40"/>
        <w:numPr>
          <w:ilvl w:val="0"/>
          <w:numId w:val="15"/>
        </w:numPr>
        <w:bidi w:val="0"/>
        <w:ind w:left="425" w:leftChars="0" w:hanging="425" w:firstLineChars="0"/>
      </w:pPr>
      <w:r>
        <w:rPr>
          <w:rFonts w:hint="eastAsia"/>
          <w:lang w:eastAsia="zh-CN"/>
        </w:rPr>
        <w:t>单兵装具</w:t>
      </w:r>
      <w:r>
        <w:t>能自动检测并实时上传各类训练事件信息，事件类型包括防毒面具开关事件、</w:t>
      </w:r>
      <w:r>
        <w:rPr>
          <w:rFonts w:hint="eastAsia"/>
        </w:rPr>
        <w:t>布</w:t>
      </w:r>
      <w:r>
        <w:t>、排雷事件、弹药补充事件、被打击事件（含直瞄打击、间瞄打击、二次打击、核化生打击和面杀伤打击事件等）、卫勤救护事件（含救护事件、伤情恶化事件）、裁决事件（含远程裁决事件及现地裁决事件）和违规事件（含火工品未安装、丧失战斗能力后非法移动、非法关机等）等；其中，被打击事件上传的信息包括攻击方身份、攻击武器及弹药类型、攻击时间、攻击位置以及被打击人员的命中部位、打击结果、命中时间和所在位置等。</w:t>
      </w:r>
    </w:p>
    <w:p>
      <w:pPr>
        <w:pStyle w:val="37"/>
        <w:bidi w:val="0"/>
      </w:pPr>
      <w:r>
        <w:t>工况信息采集上传</w:t>
      </w:r>
    </w:p>
    <w:p>
      <w:pPr>
        <w:pStyle w:val="46"/>
        <w:bidi w:val="0"/>
      </w:pPr>
      <w:r>
        <w:rPr>
          <w:rFonts w:hint="eastAsia"/>
          <w:lang w:eastAsia="zh-CN"/>
        </w:rPr>
        <w:t>单兵装具</w:t>
      </w:r>
      <w:r>
        <w:t>能自动检测故障状态(包括通信模块失效、定位模块失效等)、欠电状态、部件连接状态等信息，并完成自动上传。</w:t>
      </w:r>
    </w:p>
    <w:p>
      <w:pPr>
        <w:pStyle w:val="37"/>
        <w:bidi w:val="0"/>
      </w:pPr>
      <w:r>
        <w:t>违规处置</w:t>
      </w:r>
    </w:p>
    <w:p>
      <w:pPr>
        <w:pStyle w:val="40"/>
        <w:numPr>
          <w:ilvl w:val="0"/>
          <w:numId w:val="16"/>
        </w:numPr>
        <w:bidi w:val="0"/>
      </w:pPr>
      <w:r>
        <w:rPr>
          <w:rFonts w:hint="eastAsia"/>
          <w:lang w:eastAsia="zh-CN"/>
        </w:rPr>
        <w:t>单兵装具</w:t>
      </w:r>
      <w:r>
        <w:t>能自动检测火工品安装情况，当未按要求安装火工品时，自动使绑定的模拟器材失效；</w:t>
      </w:r>
    </w:p>
    <w:p>
      <w:pPr>
        <w:pStyle w:val="40"/>
        <w:numPr>
          <w:ilvl w:val="0"/>
          <w:numId w:val="16"/>
        </w:numPr>
        <w:bidi w:val="0"/>
      </w:pPr>
      <w:r>
        <w:rPr>
          <w:rFonts w:hint="eastAsia"/>
          <w:lang w:eastAsia="zh-CN"/>
        </w:rPr>
        <w:t>单兵装具</w:t>
      </w:r>
      <w:r>
        <w:t>能自动检测当前伤亡后移动情况，当出现丧失战斗能力后的非法移动时，</w:t>
      </w:r>
      <w:r>
        <w:rPr>
          <w:rFonts w:hint="eastAsia"/>
          <w:lang w:eastAsia="zh-CN"/>
        </w:rPr>
        <w:t>单兵装具</w:t>
      </w:r>
      <w:r>
        <w:t>自动上报违规信息；</w:t>
      </w:r>
    </w:p>
    <w:p>
      <w:pPr>
        <w:pStyle w:val="40"/>
        <w:numPr>
          <w:ilvl w:val="0"/>
          <w:numId w:val="16"/>
        </w:numPr>
        <w:bidi w:val="0"/>
      </w:pPr>
      <w:r>
        <w:rPr>
          <w:rFonts w:hint="eastAsia"/>
          <w:lang w:eastAsia="zh-CN"/>
        </w:rPr>
        <w:t>单兵装具</w:t>
      </w:r>
      <w:r>
        <w:t>能自动检测开关机信号，当出现在演习模式且在未</w:t>
      </w:r>
      <w:r>
        <w:rPr>
          <w:rFonts w:hint="eastAsia"/>
        </w:rPr>
        <w:t>欠电</w:t>
      </w:r>
      <w:r>
        <w:t>状态的关机重启时，</w:t>
      </w:r>
      <w:r>
        <w:rPr>
          <w:rFonts w:hint="eastAsia"/>
          <w:lang w:eastAsia="zh-CN"/>
        </w:rPr>
        <w:t>单兵装具</w:t>
      </w:r>
      <w:r>
        <w:t>自动判定为死亡状态，并使绑定的模拟器材失效。</w:t>
      </w:r>
    </w:p>
    <w:p>
      <w:pPr>
        <w:pStyle w:val="37"/>
        <w:bidi w:val="0"/>
      </w:pPr>
      <w:r>
        <w:t>模拟器材绑定</w:t>
      </w:r>
    </w:p>
    <w:p>
      <w:pPr>
        <w:pStyle w:val="40"/>
        <w:numPr>
          <w:ilvl w:val="0"/>
          <w:numId w:val="17"/>
        </w:numPr>
        <w:bidi w:val="0"/>
        <w:ind w:left="425" w:leftChars="0" w:hanging="425" w:firstLineChars="0"/>
      </w:pPr>
      <w:r>
        <w:rPr>
          <w:rFonts w:hint="eastAsia"/>
          <w:lang w:eastAsia="zh-CN"/>
        </w:rPr>
        <w:t>单兵装具</w:t>
      </w:r>
      <w:r>
        <w:t>能绑定重机枪、高射机枪、榴弹发射器、步枪、班用机枪、霰弹枪、狙击枪、狙击榴弹发射器等发射机，单兵排雷模拟器</w:t>
      </w:r>
      <w:r>
        <w:rPr>
          <w:rFonts w:hint="eastAsia"/>
        </w:rPr>
        <w:t>、</w:t>
      </w:r>
      <w:r>
        <w:t>迫击炮模拟器</w:t>
      </w:r>
      <w:r>
        <w:rPr>
          <w:rFonts w:hint="eastAsia"/>
        </w:rPr>
        <w:t>、</w:t>
      </w:r>
      <w:r>
        <w:t>卫勤救护终端</w:t>
      </w:r>
      <w:r>
        <w:rPr>
          <w:rFonts w:hint="eastAsia"/>
        </w:rPr>
        <w:t>、</w:t>
      </w:r>
      <w:r>
        <w:t>炮兵侦察用模拟炸点指示器等单兵装备模拟器；</w:t>
      </w:r>
    </w:p>
    <w:p>
      <w:pPr>
        <w:pStyle w:val="40"/>
        <w:numPr>
          <w:ilvl w:val="0"/>
          <w:numId w:val="17"/>
        </w:numPr>
        <w:bidi w:val="0"/>
        <w:ind w:left="425" w:leftChars="0" w:hanging="425" w:firstLineChars="0"/>
      </w:pPr>
      <w:r>
        <w:rPr>
          <w:rFonts w:hint="eastAsia"/>
          <w:lang w:eastAsia="zh-CN"/>
        </w:rPr>
        <w:t>单兵装具</w:t>
      </w:r>
      <w:r>
        <w:t>能同时绑定</w:t>
      </w:r>
      <w:r>
        <w:rPr>
          <w:rFonts w:hint="eastAsia"/>
          <w:lang w:val="en-US" w:eastAsia="zh-CN"/>
        </w:rPr>
        <w:t>2</w:t>
      </w:r>
      <w:r>
        <w:t>个单兵装备模拟器；</w:t>
      </w:r>
    </w:p>
    <w:p>
      <w:pPr>
        <w:pStyle w:val="40"/>
        <w:numPr>
          <w:ilvl w:val="0"/>
          <w:numId w:val="17"/>
        </w:numPr>
        <w:bidi w:val="0"/>
        <w:ind w:left="425" w:leftChars="0" w:hanging="425" w:firstLineChars="0"/>
      </w:pPr>
      <w:r>
        <w:rPr>
          <w:rFonts w:hint="eastAsia"/>
          <w:lang w:eastAsia="zh-CN"/>
        </w:rPr>
        <w:t>单兵装具</w:t>
      </w:r>
      <w:r>
        <w:t>与绑定模拟器材最大无线通信距离位于1～5m之间。</w:t>
      </w:r>
    </w:p>
    <w:p>
      <w:pPr>
        <w:pStyle w:val="37"/>
        <w:bidi w:val="0"/>
      </w:pPr>
      <w:r>
        <w:t>材料</w:t>
      </w:r>
    </w:p>
    <w:p>
      <w:pPr>
        <w:pStyle w:val="46"/>
        <w:bidi w:val="0"/>
      </w:pPr>
      <w:r>
        <w:rPr>
          <w:rFonts w:hint="eastAsia"/>
          <w:lang w:eastAsia="zh-CN"/>
        </w:rPr>
        <w:t>单兵装具</w:t>
      </w:r>
      <w:r>
        <w:t>所用布料的颜色和样式符合GJB7929-2012《陆军武器装备数码迷彩通用要求》。</w:t>
      </w:r>
    </w:p>
    <w:p>
      <w:pPr>
        <w:pStyle w:val="37"/>
        <w:bidi w:val="0"/>
      </w:pPr>
      <w:r>
        <w:t>重量</w:t>
      </w:r>
    </w:p>
    <w:p>
      <w:pPr>
        <w:pStyle w:val="46"/>
        <w:bidi w:val="0"/>
      </w:pPr>
      <w:r>
        <w:rPr>
          <w:rFonts w:hint="eastAsia"/>
          <w:lang w:val="en-US" w:eastAsia="zh-CN"/>
        </w:rPr>
        <w:t>1.8</w:t>
      </w:r>
      <w:r>
        <w:t>kg（单组电池）。</w:t>
      </w:r>
    </w:p>
    <w:p>
      <w:pPr>
        <w:pStyle w:val="37"/>
        <w:bidi w:val="0"/>
      </w:pPr>
      <w:r>
        <w:t>辅助管理</w:t>
      </w:r>
    </w:p>
    <w:p>
      <w:pPr>
        <w:pStyle w:val="40"/>
        <w:numPr>
          <w:ilvl w:val="0"/>
          <w:numId w:val="18"/>
        </w:numPr>
        <w:bidi w:val="0"/>
      </w:pPr>
      <w:r>
        <w:t>产品配置用于器材管理的无源RFID电子标签，标签内预置产品名称、产品编号、生产单位代字、所属单位代字等基本信息，标签类型和工作频率等参数与配套的器材信息化管理系统读写设备相一致；</w:t>
      </w:r>
    </w:p>
    <w:p>
      <w:pPr>
        <w:pStyle w:val="40"/>
        <w:numPr>
          <w:ilvl w:val="0"/>
          <w:numId w:val="18"/>
        </w:numPr>
        <w:bidi w:val="0"/>
      </w:pPr>
      <w:r>
        <w:t>产品在包装状态下通过配套的器材信息化管理系统出入库时，系统能读取RFID储存的相关信息。</w:t>
      </w:r>
    </w:p>
    <w:p>
      <w:pPr>
        <w:pStyle w:val="37"/>
        <w:bidi w:val="0"/>
        <w:rPr>
          <w:rFonts w:hint="eastAsia"/>
        </w:rPr>
      </w:pPr>
      <w:r>
        <w:rPr>
          <w:rFonts w:hint="eastAsia"/>
        </w:rPr>
        <w:t>火力效能模拟</w:t>
      </w:r>
    </w:p>
    <w:p>
      <w:pPr>
        <w:pStyle w:val="40"/>
        <w:widowControl w:val="0"/>
        <w:numPr>
          <w:ilvl w:val="0"/>
          <w:numId w:val="0"/>
        </w:numPr>
        <w:tabs>
          <w:tab w:val="left" w:pos="800"/>
        </w:tabs>
        <w:bidi w:val="0"/>
        <w:ind w:firstLine="560" w:firstLineChars="200"/>
        <w:jc w:val="both"/>
        <w:rPr>
          <w:rFonts w:hint="eastAsia"/>
        </w:rPr>
      </w:pPr>
      <w:r>
        <w:rPr>
          <w:rFonts w:hint="eastAsia"/>
        </w:rPr>
        <w:t>a) 产品能通过发射不同编码激光，模拟武器发射各型弹药的火力毁伤效能；</w:t>
      </w:r>
    </w:p>
    <w:p>
      <w:pPr>
        <w:pStyle w:val="40"/>
        <w:widowControl w:val="0"/>
        <w:numPr>
          <w:ilvl w:val="0"/>
          <w:numId w:val="0"/>
        </w:numPr>
        <w:tabs>
          <w:tab w:val="left" w:pos="800"/>
        </w:tabs>
        <w:bidi w:val="0"/>
        <w:ind w:firstLine="560" w:firstLineChars="200"/>
        <w:jc w:val="both"/>
        <w:rPr>
          <w:rFonts w:hint="eastAsia"/>
        </w:rPr>
      </w:pPr>
      <w:r>
        <w:rPr>
          <w:rFonts w:hint="eastAsia"/>
        </w:rPr>
        <w:t>b) 产品激光最大作用距离与武器的有效射程一致；</w:t>
      </w:r>
    </w:p>
    <w:p>
      <w:pPr>
        <w:pStyle w:val="40"/>
        <w:widowControl w:val="0"/>
        <w:numPr>
          <w:ilvl w:val="0"/>
          <w:numId w:val="0"/>
        </w:numPr>
        <w:tabs>
          <w:tab w:val="left" w:pos="800"/>
        </w:tabs>
        <w:bidi w:val="0"/>
        <w:ind w:firstLine="560" w:firstLineChars="200"/>
        <w:jc w:val="both"/>
        <w:rPr>
          <w:rFonts w:hint="eastAsia"/>
        </w:rPr>
      </w:pPr>
      <w:r>
        <w:rPr>
          <w:rFonts w:hint="eastAsia"/>
        </w:rPr>
        <w:t>c) 产品激光光斑命中目标有效部位均能有效识别，在有效射程处光斑尺寸40cm；</w:t>
      </w:r>
    </w:p>
    <w:p>
      <w:pPr>
        <w:pStyle w:val="40"/>
        <w:widowControl w:val="0"/>
        <w:numPr>
          <w:ilvl w:val="0"/>
          <w:numId w:val="0"/>
        </w:numPr>
        <w:tabs>
          <w:tab w:val="left" w:pos="800"/>
        </w:tabs>
        <w:bidi w:val="0"/>
        <w:ind w:firstLine="560" w:firstLineChars="200"/>
        <w:jc w:val="both"/>
        <w:rPr>
          <w:rFonts w:hint="eastAsia"/>
        </w:rPr>
      </w:pPr>
      <w:r>
        <w:rPr>
          <w:rFonts w:hint="eastAsia"/>
        </w:rPr>
        <w:t>d) 产品能模拟武器射速。</w:t>
      </w:r>
    </w:p>
    <w:p>
      <w:pPr>
        <w:pStyle w:val="37"/>
        <w:bidi w:val="0"/>
        <w:rPr>
          <w:rFonts w:hint="eastAsia"/>
        </w:rPr>
      </w:pPr>
      <w:r>
        <w:rPr>
          <w:rFonts w:hint="eastAsia"/>
        </w:rPr>
        <w:t>发射控制</w:t>
      </w:r>
    </w:p>
    <w:p>
      <w:pPr>
        <w:pStyle w:val="40"/>
        <w:widowControl w:val="0"/>
        <w:numPr>
          <w:ilvl w:val="0"/>
          <w:numId w:val="0"/>
        </w:numPr>
        <w:tabs>
          <w:tab w:val="left" w:pos="800"/>
        </w:tabs>
        <w:bidi w:val="0"/>
        <w:ind w:firstLine="560" w:firstLineChars="200"/>
        <w:jc w:val="both"/>
        <w:rPr>
          <w:rFonts w:hint="eastAsia"/>
        </w:rPr>
      </w:pPr>
      <w:r>
        <w:rPr>
          <w:rFonts w:hint="eastAsia"/>
        </w:rPr>
        <w:t>a) 产品能接收单兵装具发出的控制指令，实现激光发射功能的锁定和解锁；</w:t>
      </w:r>
    </w:p>
    <w:p>
      <w:pPr>
        <w:pStyle w:val="40"/>
        <w:widowControl w:val="0"/>
        <w:numPr>
          <w:ilvl w:val="0"/>
          <w:numId w:val="0"/>
        </w:numPr>
        <w:tabs>
          <w:tab w:val="left" w:pos="800"/>
        </w:tabs>
        <w:bidi w:val="0"/>
        <w:ind w:firstLine="560" w:firstLineChars="200"/>
        <w:jc w:val="both"/>
        <w:rPr>
          <w:rFonts w:hint="eastAsia"/>
        </w:rPr>
      </w:pPr>
      <w:r>
        <w:rPr>
          <w:rFonts w:hint="eastAsia"/>
        </w:rPr>
        <w:t>b) 产品能根据来自于单兵装具的弹量信息，实现激光发射功能的自动锁定和解锁：当弹量为0时，锁定发射功能；当弹量不为0时，解锁发射功能；</w:t>
      </w:r>
    </w:p>
    <w:p>
      <w:pPr>
        <w:pStyle w:val="40"/>
        <w:widowControl w:val="0"/>
        <w:numPr>
          <w:ilvl w:val="0"/>
          <w:numId w:val="0"/>
        </w:numPr>
        <w:tabs>
          <w:tab w:val="left" w:pos="800"/>
        </w:tabs>
        <w:bidi w:val="0"/>
        <w:ind w:firstLine="560" w:firstLineChars="200"/>
        <w:jc w:val="both"/>
        <w:rPr>
          <w:rFonts w:hint="eastAsia"/>
        </w:rPr>
      </w:pPr>
      <w:r>
        <w:rPr>
          <w:rFonts w:hint="eastAsia"/>
        </w:rPr>
        <w:t>c) 产品能根据与单兵装具的连接状态，实现激光发射功能的自动锁定和解锁：当断开连接后，锁定发射功能；当有效连接后，解锁发射功能；</w:t>
      </w:r>
    </w:p>
    <w:p>
      <w:pPr>
        <w:pStyle w:val="40"/>
        <w:widowControl w:val="0"/>
        <w:numPr>
          <w:ilvl w:val="0"/>
          <w:numId w:val="0"/>
        </w:numPr>
        <w:tabs>
          <w:tab w:val="left" w:pos="800"/>
        </w:tabs>
        <w:bidi w:val="0"/>
        <w:ind w:firstLine="560" w:firstLineChars="200"/>
        <w:jc w:val="both"/>
        <w:rPr>
          <w:rFonts w:hint="eastAsia"/>
        </w:rPr>
      </w:pPr>
      <w:r>
        <w:rPr>
          <w:rFonts w:hint="eastAsia"/>
        </w:rPr>
        <w:t>d) 产品能模拟武器更换弹匣操作。</w:t>
      </w:r>
    </w:p>
    <w:p>
      <w:pPr>
        <w:pStyle w:val="37"/>
        <w:bidi w:val="0"/>
        <w:rPr>
          <w:rFonts w:hint="eastAsia"/>
        </w:rPr>
      </w:pPr>
      <w:r>
        <w:rPr>
          <w:rFonts w:hint="eastAsia"/>
        </w:rPr>
        <w:t>发射指示</w:t>
      </w:r>
    </w:p>
    <w:p>
      <w:pPr>
        <w:pStyle w:val="40"/>
        <w:widowControl w:val="0"/>
        <w:numPr>
          <w:ilvl w:val="0"/>
          <w:numId w:val="0"/>
        </w:numPr>
        <w:tabs>
          <w:tab w:val="left" w:pos="800"/>
        </w:tabs>
        <w:bidi w:val="0"/>
        <w:ind w:firstLine="560" w:firstLineChars="200"/>
        <w:jc w:val="both"/>
      </w:pPr>
      <w:r>
        <w:rPr>
          <w:rFonts w:hint="eastAsia"/>
        </w:rPr>
        <w:t>产品能通过指示灯显示有效发射状态，夜间模式下能自动调低指示灯亮度。</w:t>
      </w:r>
    </w:p>
    <w:p>
      <w:pPr>
        <w:pStyle w:val="35"/>
        <w:bidi w:val="0"/>
      </w:pPr>
      <w:r>
        <w:t>接口</w:t>
      </w:r>
    </w:p>
    <w:p>
      <w:pPr>
        <w:pStyle w:val="37"/>
        <w:bidi w:val="0"/>
      </w:pPr>
      <w:r>
        <w:t>激光光学接口</w:t>
      </w:r>
    </w:p>
    <w:p>
      <w:pPr>
        <w:pStyle w:val="46"/>
        <w:bidi w:val="0"/>
      </w:pPr>
      <w:r>
        <w:rPr>
          <w:rFonts w:hint="eastAsia"/>
          <w:lang w:eastAsia="zh-CN"/>
        </w:rPr>
        <w:t>单兵装具</w:t>
      </w:r>
      <w:r>
        <w:t>激光接收器的激光光学特性、编解码标准符合LSJT-JKXY-01《陆军实兵交战系统红外激光光学接口规范》的要求。</w:t>
      </w:r>
    </w:p>
    <w:p>
      <w:pPr>
        <w:pStyle w:val="37"/>
        <w:bidi w:val="0"/>
      </w:pPr>
      <w:r>
        <w:t>信息交互接口</w:t>
      </w:r>
    </w:p>
    <w:p>
      <w:pPr>
        <w:pStyle w:val="40"/>
        <w:numPr>
          <w:ilvl w:val="0"/>
          <w:numId w:val="19"/>
        </w:numPr>
        <w:bidi w:val="0"/>
        <w:ind w:left="425" w:leftChars="0" w:hanging="425" w:firstLineChars="0"/>
      </w:pPr>
      <w:r>
        <w:rPr>
          <w:rFonts w:hint="eastAsia"/>
          <w:lang w:eastAsia="zh-CN"/>
        </w:rPr>
        <w:t>单兵装具</w:t>
      </w:r>
      <w:r>
        <w:t>与主控软件无线交互接口和协议满足LSJT-JKXY-03《陆军实兵交战系统宽带无线通信接口规范》中相关指令要求；</w:t>
      </w:r>
    </w:p>
    <w:p>
      <w:pPr>
        <w:pStyle w:val="40"/>
        <w:numPr>
          <w:ilvl w:val="0"/>
          <w:numId w:val="19"/>
        </w:numPr>
        <w:bidi w:val="0"/>
        <w:ind w:left="425" w:leftChars="0" w:hanging="425" w:firstLineChars="0"/>
      </w:pPr>
      <w:r>
        <w:rPr>
          <w:rFonts w:hint="eastAsia"/>
          <w:lang w:eastAsia="zh-CN"/>
        </w:rPr>
        <w:t>单兵装具</w:t>
      </w:r>
      <w:r>
        <w:t>与车辆、碉堡、建筑物等模拟器材无线交互接口和协议满足LSJT-JKXY-04《陆军实兵交战系统短距无线通信接口规范》中相关指令要求；</w:t>
      </w:r>
    </w:p>
    <w:p>
      <w:pPr>
        <w:pStyle w:val="40"/>
        <w:numPr>
          <w:ilvl w:val="0"/>
          <w:numId w:val="19"/>
        </w:numPr>
        <w:bidi w:val="0"/>
        <w:ind w:left="425" w:leftChars="0" w:hanging="425" w:firstLineChars="0"/>
      </w:pPr>
      <w:r>
        <w:rPr>
          <w:rFonts w:hint="eastAsia"/>
          <w:lang w:eastAsia="zh-CN"/>
        </w:rPr>
        <w:t>单兵装具</w:t>
      </w:r>
      <w:r>
        <w:t>与地雷、手雷等面杀伤武器无线交互接口和协议满足LSJT-JKXY-04《陆军实兵交战系统短距无线通信接口规范》中相关指令要求；</w:t>
      </w:r>
    </w:p>
    <w:p>
      <w:pPr>
        <w:pStyle w:val="40"/>
        <w:numPr>
          <w:ilvl w:val="0"/>
          <w:numId w:val="19"/>
        </w:numPr>
        <w:bidi w:val="0"/>
        <w:ind w:left="425" w:leftChars="0" w:hanging="425" w:firstLineChars="0"/>
      </w:pPr>
      <w:r>
        <w:rPr>
          <w:rFonts w:hint="eastAsia"/>
          <w:lang w:eastAsia="zh-CN"/>
        </w:rPr>
        <w:t>单兵装具</w:t>
      </w:r>
      <w:r>
        <w:t>被直瞄武器榴弹命中时，与其他终端无线交互接口和协议满足LSJT-JKXY-04《陆军实兵交战系统短距无线通信接口规范》中相关指令要求；</w:t>
      </w:r>
    </w:p>
    <w:p>
      <w:pPr>
        <w:pStyle w:val="40"/>
        <w:numPr>
          <w:ilvl w:val="0"/>
          <w:numId w:val="19"/>
        </w:numPr>
        <w:bidi w:val="0"/>
        <w:ind w:left="425" w:leftChars="0" w:hanging="425" w:firstLineChars="0"/>
      </w:pPr>
      <w:r>
        <w:rPr>
          <w:rFonts w:hint="eastAsia"/>
          <w:lang w:eastAsia="zh-CN"/>
        </w:rPr>
        <w:t>单兵装具</w:t>
      </w:r>
      <w:r>
        <w:t>与卫勤救护模拟设备无线交互接口和协议满足LSJT-JKXY-02《陆军实兵交战系统红外短距数据通信接口规范》中相关指令要求；</w:t>
      </w:r>
    </w:p>
    <w:p>
      <w:pPr>
        <w:pStyle w:val="40"/>
        <w:numPr>
          <w:ilvl w:val="0"/>
          <w:numId w:val="19"/>
        </w:numPr>
        <w:bidi w:val="0"/>
        <w:ind w:left="425" w:leftChars="0" w:hanging="425" w:firstLineChars="0"/>
      </w:pPr>
      <w:r>
        <w:rPr>
          <w:rFonts w:hint="eastAsia"/>
          <w:lang w:eastAsia="zh-CN"/>
        </w:rPr>
        <w:t>单兵装具</w:t>
      </w:r>
      <w:r>
        <w:t>与装弹采集器无线交互接口和协议满足LSJT-JKXY-02《陆军实兵交战系统红外短距数据通信接口规范》中相关指令要求；</w:t>
      </w:r>
    </w:p>
    <w:p>
      <w:pPr>
        <w:pStyle w:val="40"/>
        <w:numPr>
          <w:ilvl w:val="0"/>
          <w:numId w:val="19"/>
        </w:numPr>
        <w:bidi w:val="0"/>
        <w:ind w:left="425" w:leftChars="0" w:hanging="425" w:firstLineChars="0"/>
      </w:pPr>
      <w:r>
        <w:rPr>
          <w:rFonts w:hint="eastAsia"/>
          <w:lang w:eastAsia="zh-CN"/>
        </w:rPr>
        <w:t>单兵装具</w:t>
      </w:r>
      <w:r>
        <w:t>与弹药输送车模拟终端无线交互接口和协议满足LSJT-JKXY-02《陆军实兵交战系统红外短距数据通信接口规范》中相关指令要求；</w:t>
      </w:r>
    </w:p>
    <w:p>
      <w:pPr>
        <w:pStyle w:val="40"/>
        <w:numPr>
          <w:ilvl w:val="0"/>
          <w:numId w:val="19"/>
        </w:numPr>
        <w:bidi w:val="0"/>
        <w:ind w:left="425" w:leftChars="0" w:hanging="425" w:firstLineChars="0"/>
      </w:pPr>
      <w:r>
        <w:rPr>
          <w:rFonts w:hint="eastAsia"/>
          <w:lang w:eastAsia="zh-CN"/>
        </w:rPr>
        <w:t>单兵装具</w:t>
      </w:r>
      <w:r>
        <w:t>与终端检测器无线交互接口和协议满足LSJT-JKXY-02《陆军实兵交战系统红外短距数据通信接口规范》和LSJT-JKXY-04《陆军实兵交战系统短距无线通信接口规范》中相关指令要求；</w:t>
      </w:r>
    </w:p>
    <w:p>
      <w:pPr>
        <w:pStyle w:val="40"/>
        <w:numPr>
          <w:ilvl w:val="0"/>
          <w:numId w:val="19"/>
        </w:numPr>
        <w:bidi w:val="0"/>
        <w:ind w:left="425" w:leftChars="0" w:hanging="425" w:firstLineChars="0"/>
      </w:pPr>
      <w:r>
        <w:rPr>
          <w:rFonts w:hint="eastAsia"/>
          <w:lang w:eastAsia="zh-CN"/>
        </w:rPr>
        <w:t>单兵装具</w:t>
      </w:r>
      <w:r>
        <w:t>设计外部数据接口，满足导控软件在线升级和数据输入输出要求。</w:t>
      </w:r>
    </w:p>
    <w:p>
      <w:pPr>
        <w:pStyle w:val="35"/>
        <w:bidi w:val="0"/>
      </w:pPr>
      <w:bookmarkStart w:id="0" w:name="_GoBack"/>
      <w:r>
        <w:t>数据存储</w:t>
      </w:r>
    </w:p>
    <w:p>
      <w:pPr>
        <w:pStyle w:val="40"/>
        <w:numPr>
          <w:ilvl w:val="0"/>
          <w:numId w:val="20"/>
        </w:numPr>
        <w:bidi w:val="0"/>
      </w:pPr>
      <w:r>
        <w:rPr>
          <w:rFonts w:hint="eastAsia"/>
          <w:lang w:eastAsia="zh-CN"/>
        </w:rPr>
        <w:t>单兵装具</w:t>
      </w:r>
      <w:r>
        <w:t>具备50条交战事件自动存储能力，存储信息在</w:t>
      </w:r>
      <w:r>
        <w:rPr>
          <w:rFonts w:hint="eastAsia"/>
          <w:lang w:eastAsia="zh-CN"/>
        </w:rPr>
        <w:t>单兵装具</w:t>
      </w:r>
      <w:r>
        <w:t>掉电后不丢失，通信恢复后可自主上传；</w:t>
      </w:r>
    </w:p>
    <w:p>
      <w:pPr>
        <w:pStyle w:val="40"/>
        <w:numPr>
          <w:ilvl w:val="0"/>
          <w:numId w:val="20"/>
        </w:numPr>
        <w:bidi w:val="0"/>
      </w:pPr>
      <w:r>
        <w:rPr>
          <w:rFonts w:hint="eastAsia"/>
          <w:lang w:eastAsia="zh-CN"/>
        </w:rPr>
        <w:t>单兵装具</w:t>
      </w:r>
      <w:r>
        <w:t>能实时显示当前未完成上传事件数量。</w:t>
      </w:r>
    </w:p>
    <w:bookmarkEnd w:id="0"/>
    <w:p>
      <w:pPr>
        <w:pStyle w:val="35"/>
        <w:bidi w:val="0"/>
      </w:pPr>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1"/>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1"/>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1"/>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1"/>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1"/>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1"/>
        </w:numPr>
        <w:bidi w:val="0"/>
      </w:pPr>
      <w:r>
        <w:t>具有开机自检功能，检测内容包括火工品安装检测、定位状态检测等</w:t>
      </w:r>
    </w:p>
    <w:p>
      <w:pPr>
        <w:numPr>
          <w:ilvl w:val="0"/>
          <w:numId w:val="21"/>
        </w:numPr>
        <w:bidi w:val="0"/>
        <w:ind w:left="420" w:leftChars="0" w:hanging="420" w:firstLineChars="0"/>
      </w:pPr>
      <w:r>
        <w:rPr>
          <w:rFonts w:hint="eastAsia"/>
        </w:rPr>
        <w:t>产品能根据故障检测设备的测试指令自动完成故障定位输出，虚警率2%；</w:t>
      </w:r>
    </w:p>
    <w:p>
      <w:pPr>
        <w:numPr>
          <w:ilvl w:val="0"/>
          <w:numId w:val="21"/>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1"/>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1"/>
        </w:numPr>
        <w:bidi w:val="0"/>
        <w:ind w:left="420" w:leftChars="0" w:hanging="420" w:firstLineChars="0"/>
      </w:pPr>
      <w:r>
        <w:rPr>
          <w:rFonts w:hint="eastAsia"/>
        </w:rPr>
        <w:t>产品符合相应人眼危害距离要求；</w:t>
      </w:r>
    </w:p>
    <w:p>
      <w:pPr>
        <w:numPr>
          <w:ilvl w:val="0"/>
          <w:numId w:val="21"/>
        </w:numPr>
        <w:bidi w:val="0"/>
        <w:ind w:left="420" w:leftChars="0" w:hanging="420" w:firstLineChars="0"/>
      </w:pPr>
      <w:r>
        <w:rPr>
          <w:rFonts w:hint="eastAsia"/>
        </w:rPr>
        <w:t>产品火工品安装处有安全警示标志和操作规程；</w:t>
      </w:r>
    </w:p>
    <w:p>
      <w:pPr>
        <w:numPr>
          <w:ilvl w:val="0"/>
          <w:numId w:val="21"/>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1"/>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1"/>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1"/>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1"/>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p>
      <w:pPr>
        <w:pStyle w:val="35"/>
        <w:bidi w:val="0"/>
      </w:pPr>
      <w:r>
        <w:t>扩展性</w:t>
      </w:r>
    </w:p>
    <w:p>
      <w:pPr>
        <w:pStyle w:val="46"/>
        <w:bidi w:val="0"/>
      </w:pPr>
      <w:r>
        <w:rPr>
          <w:rFonts w:hint="eastAsia"/>
          <w:lang w:eastAsia="zh-CN"/>
        </w:rPr>
        <w:t>单兵装具</w:t>
      </w:r>
      <w:r>
        <w:t>具有匹配满足技术标准的新增单兵装备模拟器材的拓展能力。</w:t>
      </w:r>
    </w:p>
    <w:p>
      <w:pPr>
        <w:pStyle w:val="35"/>
        <w:bidi w:val="0"/>
      </w:pPr>
      <w:r>
        <w:t>供电</w:t>
      </w:r>
    </w:p>
    <w:p>
      <w:pPr>
        <w:pStyle w:val="40"/>
        <w:numPr>
          <w:ilvl w:val="0"/>
          <w:numId w:val="22"/>
        </w:numPr>
        <w:bidi w:val="0"/>
        <w:ind w:left="425" w:leftChars="0" w:hanging="425" w:firstLineChars="0"/>
      </w:pPr>
      <w:r>
        <w:rPr>
          <w:rFonts w:hint="eastAsia"/>
          <w:lang w:eastAsia="zh-CN"/>
        </w:rPr>
        <w:t>单兵装具</w:t>
      </w:r>
      <w:r>
        <w:t>采用锂电池供电，规格参数符合GJB916B-2011《军用锂电池</w:t>
      </w:r>
      <w:r>
        <w:rPr>
          <w:rFonts w:hint="eastAsia"/>
          <w:lang w:eastAsia="zh-CN"/>
        </w:rPr>
        <w:t>单兵装具</w:t>
      </w:r>
      <w:r>
        <w:t>规范》的要求；</w:t>
      </w:r>
    </w:p>
    <w:p>
      <w:pPr>
        <w:pStyle w:val="40"/>
        <w:numPr>
          <w:ilvl w:val="0"/>
          <w:numId w:val="22"/>
        </w:numPr>
        <w:bidi w:val="0"/>
        <w:ind w:left="425" w:leftChars="0" w:hanging="425" w:firstLineChars="0"/>
      </w:pPr>
      <w:r>
        <w:t>电池容量满足连续工作时间</w:t>
      </w:r>
      <w:r>
        <w:rPr>
          <w:rFonts w:hint="eastAsia"/>
          <w:lang w:eastAsia="zh-CN"/>
        </w:rPr>
        <w:t>：</w:t>
      </w:r>
      <w:r>
        <w:t>12h（单组电池）要求；</w:t>
      </w:r>
    </w:p>
    <w:p>
      <w:pPr>
        <w:pStyle w:val="40"/>
        <w:numPr>
          <w:ilvl w:val="0"/>
          <w:numId w:val="22"/>
        </w:numPr>
        <w:bidi w:val="0"/>
        <w:ind w:left="425" w:leftChars="0" w:hanging="425" w:firstLineChars="0"/>
      </w:pPr>
      <w:r>
        <w:t>单组电池充电时间：6h；</w:t>
      </w:r>
    </w:p>
    <w:p>
      <w:pPr>
        <w:pStyle w:val="40"/>
        <w:numPr>
          <w:ilvl w:val="0"/>
          <w:numId w:val="22"/>
        </w:numPr>
        <w:bidi w:val="0"/>
        <w:ind w:left="425" w:leftChars="0" w:hanging="425" w:firstLineChars="0"/>
      </w:pPr>
      <w:r>
        <w:rPr>
          <w:rFonts w:hint="eastAsia"/>
          <w:lang w:eastAsia="zh-CN"/>
        </w:rPr>
        <w:t>单兵装具</w:t>
      </w:r>
      <w:r>
        <w:t>提供1组备用电池，电池更换时间1min。</w:t>
      </w:r>
    </w:p>
    <w:p>
      <w:pPr>
        <w:pStyle w:val="40"/>
        <w:numPr>
          <w:ilvl w:val="0"/>
          <w:numId w:val="22"/>
        </w:numPr>
        <w:bidi w:val="0"/>
        <w:ind w:left="425" w:leftChars="0" w:hanging="425" w:firstLineChars="0"/>
      </w:pPr>
      <w:r>
        <w:rPr>
          <w:rFonts w:hint="eastAsia"/>
          <w:lang w:eastAsia="zh-CN"/>
        </w:rPr>
        <w:t>产</w:t>
      </w:r>
      <w:r>
        <w:rPr>
          <w:rFonts w:hint="eastAsia"/>
        </w:rPr>
        <w:t>品发射机电池容量满足连续工作时间5×24h（单组电池）要求。</w:t>
      </w:r>
    </w:p>
    <w:p>
      <w:pPr>
        <w:pStyle w:val="35"/>
        <w:bidi w:val="0"/>
      </w:pPr>
      <w:r>
        <w:t>安装</w:t>
      </w:r>
    </w:p>
    <w:p>
      <w:pPr>
        <w:pStyle w:val="40"/>
        <w:numPr>
          <w:ilvl w:val="0"/>
          <w:numId w:val="23"/>
        </w:numPr>
        <w:bidi w:val="0"/>
        <w:ind w:left="425" w:leftChars="0" w:hanging="425" w:firstLineChars="0"/>
      </w:pPr>
      <w:r>
        <w:rPr>
          <w:rFonts w:hint="eastAsia"/>
          <w:lang w:eastAsia="zh-CN"/>
        </w:rPr>
        <w:t>单兵装具</w:t>
      </w:r>
      <w:r>
        <w:t>采用穿戴式结构，</w:t>
      </w:r>
      <w:r>
        <w:rPr>
          <w:rFonts w:hint="eastAsia"/>
          <w:lang w:eastAsia="zh-CN"/>
        </w:rPr>
        <w:t>单兵装具</w:t>
      </w:r>
      <w:r>
        <w:t>能够单人完成穿戴，穿戴时间5min；</w:t>
      </w:r>
    </w:p>
    <w:p>
      <w:pPr>
        <w:pStyle w:val="40"/>
        <w:numPr>
          <w:ilvl w:val="0"/>
          <w:numId w:val="23"/>
        </w:numPr>
        <w:bidi w:val="0"/>
        <w:ind w:left="425" w:leftChars="0" w:hanging="425" w:firstLineChars="0"/>
      </w:pPr>
      <w:r>
        <w:t>穿戴和固定方式充分考虑牢固性和便携性要求，在单兵运动过程中</w:t>
      </w:r>
      <w:r>
        <w:rPr>
          <w:rFonts w:hint="eastAsia"/>
          <w:lang w:eastAsia="zh-CN"/>
        </w:rPr>
        <w:t>单兵装具</w:t>
      </w:r>
      <w:r>
        <w:t>不出现明显的上下串动现象；</w:t>
      </w:r>
    </w:p>
    <w:p>
      <w:pPr>
        <w:pStyle w:val="40"/>
        <w:numPr>
          <w:ilvl w:val="0"/>
          <w:numId w:val="23"/>
        </w:numPr>
        <w:bidi w:val="0"/>
        <w:ind w:left="425" w:leftChars="0" w:hanging="425" w:firstLineChars="0"/>
      </w:pPr>
      <w:r>
        <w:rPr>
          <w:rFonts w:hint="eastAsia"/>
          <w:lang w:eastAsia="zh-CN"/>
        </w:rPr>
        <w:t>单兵装具</w:t>
      </w:r>
      <w:r>
        <w:t>穿戴后，不得影响实装单兵装具的正常使用；</w:t>
      </w:r>
    </w:p>
    <w:p>
      <w:pPr>
        <w:pStyle w:val="40"/>
        <w:numPr>
          <w:ilvl w:val="0"/>
          <w:numId w:val="23"/>
        </w:numPr>
        <w:bidi w:val="0"/>
        <w:ind w:left="425" w:leftChars="0" w:hanging="425" w:firstLineChars="0"/>
      </w:pPr>
      <w:r>
        <w:t>头盔套、背带及绑定装备之间采用无线方式连接，不影响武器操作使用；</w:t>
      </w:r>
    </w:p>
    <w:p>
      <w:pPr>
        <w:pStyle w:val="40"/>
        <w:numPr>
          <w:ilvl w:val="0"/>
          <w:numId w:val="23"/>
        </w:numPr>
        <w:bidi w:val="0"/>
        <w:ind w:left="425" w:leftChars="0" w:hanging="425" w:firstLineChars="0"/>
      </w:pPr>
      <w:r>
        <w:rPr>
          <w:rFonts w:hint="eastAsia"/>
          <w:lang w:eastAsia="zh-CN"/>
        </w:rPr>
        <w:t>单兵装具</w:t>
      </w:r>
      <w:r>
        <w:t>能调节穿戴松紧程度，满足不同人员使用要求；</w:t>
      </w:r>
    </w:p>
    <w:p>
      <w:pPr>
        <w:pStyle w:val="40"/>
        <w:numPr>
          <w:ilvl w:val="0"/>
          <w:numId w:val="23"/>
        </w:numPr>
        <w:bidi w:val="0"/>
        <w:ind w:left="425" w:leftChars="0" w:hanging="425" w:firstLineChars="0"/>
        <w:rPr>
          <w:rFonts w:hint="eastAsia"/>
        </w:rPr>
      </w:pPr>
      <w:r>
        <w:rPr>
          <w:rFonts w:hint="eastAsia"/>
        </w:rPr>
        <w:t>产品发射机安装后不妨碍武器实装瞄准镜使用，安装时间2min；</w:t>
      </w:r>
    </w:p>
    <w:p>
      <w:pPr>
        <w:pStyle w:val="40"/>
        <w:numPr>
          <w:ilvl w:val="0"/>
          <w:numId w:val="23"/>
        </w:numPr>
        <w:bidi w:val="0"/>
        <w:ind w:left="425" w:leftChars="0" w:hanging="425" w:firstLineChars="0"/>
        <w:rPr>
          <w:rFonts w:hint="eastAsia"/>
        </w:rPr>
      </w:pPr>
      <w:r>
        <w:rPr>
          <w:rFonts w:hint="eastAsia"/>
        </w:rPr>
        <w:t>产品发射机外形尺寸不影响武器携行和瞄准；</w:t>
      </w:r>
    </w:p>
    <w:p>
      <w:pPr>
        <w:pStyle w:val="40"/>
        <w:numPr>
          <w:ilvl w:val="0"/>
          <w:numId w:val="23"/>
        </w:numPr>
        <w:bidi w:val="0"/>
        <w:ind w:left="425" w:leftChars="0" w:hanging="425" w:firstLineChars="0"/>
        <w:rPr>
          <w:rFonts w:hint="eastAsia"/>
        </w:rPr>
      </w:pPr>
      <w:r>
        <w:rPr>
          <w:rFonts w:hint="eastAsia"/>
        </w:rPr>
        <w:t>产品发射机能通过实装瞄准机构实现瞄准射击；</w:t>
      </w:r>
    </w:p>
    <w:p>
      <w:pPr>
        <w:pStyle w:val="40"/>
        <w:numPr>
          <w:ilvl w:val="0"/>
          <w:numId w:val="23"/>
        </w:numPr>
        <w:bidi w:val="0"/>
        <w:ind w:left="425" w:leftChars="0" w:hanging="425" w:firstLineChars="0"/>
        <w:rPr>
          <w:rFonts w:hint="eastAsia"/>
        </w:rPr>
      </w:pPr>
      <w:r>
        <w:rPr>
          <w:rFonts w:hint="eastAsia"/>
        </w:rPr>
        <w:t>产品无需专用工具进行校准，校准时间5min；</w:t>
      </w:r>
    </w:p>
    <w:p>
      <w:pPr>
        <w:pStyle w:val="40"/>
        <w:numPr>
          <w:ilvl w:val="0"/>
          <w:numId w:val="23"/>
        </w:numPr>
        <w:bidi w:val="0"/>
        <w:ind w:left="425" w:leftChars="0" w:hanging="425" w:firstLineChars="0"/>
      </w:pPr>
      <w:r>
        <w:rPr>
          <w:rFonts w:hint="eastAsia"/>
        </w:rPr>
        <w:t>产品开关具有防误触发功能。</w:t>
      </w:r>
    </w:p>
    <w:p>
      <w:pPr>
        <w:pStyle w:val="35"/>
        <w:bidi w:val="0"/>
      </w:pPr>
      <w:r>
        <w:t>标志</w:t>
      </w:r>
    </w:p>
    <w:p>
      <w:pPr>
        <w:pStyle w:val="46"/>
        <w:bidi w:val="0"/>
      </w:pPr>
      <w:r>
        <w:rPr>
          <w:rFonts w:hint="eastAsia"/>
          <w:lang w:eastAsia="zh-CN"/>
        </w:rPr>
        <w:t>单兵装具</w:t>
      </w:r>
      <w:r>
        <w:t>标志包括</w:t>
      </w:r>
      <w:r>
        <w:rPr>
          <w:rFonts w:hint="eastAsia"/>
          <w:lang w:eastAsia="zh-CN"/>
        </w:rPr>
        <w:t>单兵装具</w:t>
      </w:r>
      <w:r>
        <w:t>名称、</w:t>
      </w:r>
      <w:r>
        <w:rPr>
          <w:rFonts w:hint="eastAsia"/>
          <w:lang w:eastAsia="zh-CN"/>
        </w:rPr>
        <w:t>单兵装具</w:t>
      </w:r>
      <w:r>
        <w:t>编号。</w:t>
      </w:r>
    </w:p>
    <w:p>
      <w:pPr>
        <w:pStyle w:val="35"/>
        <w:bidi w:val="0"/>
      </w:pPr>
      <w:r>
        <w:t>包装</w:t>
      </w:r>
    </w:p>
    <w:p>
      <w:pPr>
        <w:pStyle w:val="37"/>
        <w:bidi w:val="0"/>
      </w:pPr>
      <w:r>
        <w:rPr>
          <w:rFonts w:hint="eastAsia"/>
          <w:lang w:eastAsia="zh-CN"/>
        </w:rPr>
        <w:t>单兵装具</w:t>
      </w:r>
      <w:r>
        <w:t>包装</w:t>
      </w:r>
    </w:p>
    <w:p>
      <w:pPr>
        <w:pStyle w:val="40"/>
        <w:numPr>
          <w:ilvl w:val="0"/>
          <w:numId w:val="24"/>
        </w:numPr>
        <w:bidi w:val="0"/>
      </w:pPr>
      <w:r>
        <w:rPr>
          <w:rFonts w:hint="eastAsia"/>
          <w:lang w:eastAsia="zh-CN"/>
        </w:rPr>
        <w:t>单兵装具</w:t>
      </w:r>
      <w:r>
        <w:t>包装采用硬质ABS塑料箱包装，箱体强度和刚度满足以下要求：</w:t>
      </w:r>
    </w:p>
    <w:p>
      <w:pPr>
        <w:pStyle w:val="40"/>
        <w:numPr>
          <w:ilvl w:val="0"/>
          <w:numId w:val="25"/>
        </w:numPr>
        <w:bidi w:val="0"/>
        <w:ind w:left="420" w:leftChars="0" w:hanging="420" w:firstLineChars="0"/>
      </w:pPr>
      <w:r>
        <w:t>圆面积300平方厘米集中载荷80 Kg时，箱体不发生永久变形或开裂现象；</w:t>
      </w:r>
    </w:p>
    <w:p>
      <w:pPr>
        <w:pStyle w:val="40"/>
        <w:numPr>
          <w:ilvl w:val="0"/>
          <w:numId w:val="25"/>
        </w:numPr>
        <w:bidi w:val="0"/>
        <w:ind w:left="420" w:leftChars="0" w:hanging="420" w:firstLineChars="0"/>
      </w:pPr>
      <w:r>
        <w:t>均匀载荷200Kg时，箱体不发生永久变形或开裂现象。</w:t>
      </w:r>
    </w:p>
    <w:p>
      <w:pPr>
        <w:pStyle w:val="40"/>
        <w:numPr>
          <w:ilvl w:val="0"/>
          <w:numId w:val="24"/>
        </w:numPr>
        <w:bidi w:val="0"/>
      </w:pPr>
      <w:r>
        <w:t>铰链和搭扣安装牢固，开关正常；</w:t>
      </w:r>
    </w:p>
    <w:p>
      <w:pPr>
        <w:pStyle w:val="40"/>
        <w:numPr>
          <w:ilvl w:val="0"/>
          <w:numId w:val="24"/>
        </w:numPr>
        <w:bidi w:val="0"/>
      </w:pPr>
      <w:r>
        <w:t>防水要求：在雨量100mm/h的条件下持续雨淋0.5h，无渗水现象；</w:t>
      </w:r>
    </w:p>
    <w:p>
      <w:pPr>
        <w:pStyle w:val="40"/>
        <w:numPr>
          <w:ilvl w:val="0"/>
          <w:numId w:val="24"/>
        </w:numPr>
        <w:bidi w:val="0"/>
      </w:pPr>
      <w:r>
        <w:t>包装标志包括</w:t>
      </w:r>
      <w:r>
        <w:rPr>
          <w:rFonts w:hint="eastAsia"/>
          <w:lang w:eastAsia="zh-CN"/>
        </w:rPr>
        <w:t>单兵装具</w:t>
      </w:r>
      <w:r>
        <w:t>名称、</w:t>
      </w:r>
      <w:r>
        <w:rPr>
          <w:rFonts w:hint="eastAsia"/>
          <w:lang w:eastAsia="zh-CN"/>
        </w:rPr>
        <w:t>单兵装具</w:t>
      </w:r>
      <w:r>
        <w:t>编号、生产厂家、生产日期、配发单位等；</w:t>
      </w:r>
    </w:p>
    <w:p>
      <w:pPr>
        <w:pStyle w:val="40"/>
        <w:numPr>
          <w:ilvl w:val="0"/>
          <w:numId w:val="24"/>
        </w:numPr>
        <w:bidi w:val="0"/>
      </w:pPr>
      <w:r>
        <w:t>包装箱尺寸：长度500mm，宽度400mm，高度240mm；</w:t>
      </w:r>
    </w:p>
    <w:p>
      <w:pPr>
        <w:pStyle w:val="40"/>
        <w:numPr>
          <w:ilvl w:val="0"/>
          <w:numId w:val="24"/>
        </w:numPr>
        <w:bidi w:val="0"/>
      </w:pPr>
      <w:r>
        <w:t>包装箱采用限位设计，堆码层数6。</w:t>
      </w:r>
    </w:p>
    <w:p>
      <w:pPr>
        <w:pStyle w:val="37"/>
        <w:bidi w:val="0"/>
      </w:pPr>
      <w:r>
        <w:t>运输包装</w:t>
      </w:r>
    </w:p>
    <w:p>
      <w:pPr>
        <w:pStyle w:val="40"/>
        <w:numPr>
          <w:ilvl w:val="0"/>
          <w:numId w:val="26"/>
        </w:numPr>
        <w:bidi w:val="0"/>
        <w:ind w:left="425" w:leftChars="0" w:hanging="425" w:firstLineChars="0"/>
      </w:pPr>
      <w:r>
        <w:rPr>
          <w:rFonts w:hint="eastAsia"/>
          <w:lang w:eastAsia="zh-CN"/>
        </w:rPr>
        <w:t>单兵装具</w:t>
      </w:r>
      <w:r>
        <w:t>的运输包装为瓦楞纸箱，符合GJB1109A-1999《军用瓦楞纸箱》的要求；</w:t>
      </w:r>
    </w:p>
    <w:p>
      <w:pPr>
        <w:pStyle w:val="40"/>
        <w:numPr>
          <w:ilvl w:val="0"/>
          <w:numId w:val="26"/>
        </w:numPr>
        <w:bidi w:val="0"/>
        <w:ind w:left="425" w:leftChars="0" w:hanging="425" w:firstLineChars="0"/>
      </w:pPr>
      <w:r>
        <w:t>运输标志符合GB/T191-2008《包装储运图示标志》中4.2的要求。</w:t>
      </w:r>
    </w:p>
    <w:p>
      <w:pPr>
        <w:pStyle w:val="35"/>
        <w:bidi w:val="0"/>
      </w:pPr>
      <w:r>
        <w:rPr>
          <w:rFonts w:hint="eastAsia"/>
          <w:lang w:val="en-US" w:eastAsia="zh-CN"/>
        </w:rPr>
        <w:t>单兵装具</w:t>
      </w:r>
      <w:r>
        <w:t>成套性</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8"/>
        <w:gridCol w:w="2024"/>
        <w:gridCol w:w="811"/>
        <w:gridCol w:w="949"/>
        <w:gridCol w:w="4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083"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834"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tcBorders>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083"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头盔套</w:t>
            </w:r>
          </w:p>
        </w:tc>
        <w:tc>
          <w:tcPr>
            <w:tcW w:w="834" w:type="dxa"/>
            <w:tcBorders>
              <w:top w:val="single" w:color="000000" w:sz="12" w:space="0"/>
            </w:tcBorders>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top w:val="single" w:color="000000" w:sz="12" w:space="0"/>
            </w:tcBorders>
            <w:shd w:val="clear" w:color="auto" w:fill="auto"/>
            <w:vAlign w:val="center"/>
          </w:tcPr>
          <w:p>
            <w:pPr>
              <w:snapToGrid w:val="0"/>
              <w:ind w:firstLine="0"/>
              <w:jc w:val="center"/>
              <w:rPr>
                <w:rFonts w:ascii="Calibri" w:hAnsi="Calibri" w:cs="Calibri"/>
                <w:kern w:val="2"/>
                <w:sz w:val="18"/>
                <w:szCs w:val="18"/>
              </w:rPr>
            </w:pPr>
            <w:r>
              <w:rPr>
                <w:rFonts w:ascii="Calibri" w:hAnsi="Calibri" w:cs="Calibri"/>
                <w:kern w:val="2"/>
                <w:sz w:val="18"/>
                <w:szCs w:val="18"/>
              </w:rPr>
              <w:t>件</w:t>
            </w:r>
          </w:p>
        </w:tc>
        <w:tc>
          <w:tcPr>
            <w:tcW w:w="4505" w:type="dxa"/>
            <w:tcBorders>
              <w:top w:val="single" w:color="000000" w:sz="12" w:space="0"/>
              <w:right w:val="single" w:color="000000" w:sz="12" w:space="0"/>
            </w:tcBorders>
            <w:shd w:val="clear" w:color="auto" w:fill="auto"/>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2083"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单兵背带</w:t>
            </w:r>
          </w:p>
        </w:tc>
        <w:tc>
          <w:tcPr>
            <w:tcW w:w="834" w:type="dxa"/>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kern w:val="2"/>
                <w:sz w:val="18"/>
                <w:szCs w:val="18"/>
              </w:rPr>
            </w:pPr>
            <w:r>
              <w:rPr>
                <w:rFonts w:ascii="Calibri" w:hAnsi="Calibri" w:cs="Calibri"/>
                <w:kern w:val="2"/>
                <w:sz w:val="18"/>
                <w:szCs w:val="18"/>
              </w:rPr>
              <w:t>件</w:t>
            </w:r>
          </w:p>
        </w:tc>
        <w:tc>
          <w:tcPr>
            <w:tcW w:w="4505" w:type="dxa"/>
            <w:tcBorders>
              <w:right w:val="single" w:color="000000" w:sz="12" w:space="0"/>
            </w:tcBorders>
            <w:shd w:val="clear" w:color="auto" w:fill="auto"/>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3</w:t>
            </w:r>
          </w:p>
        </w:tc>
        <w:tc>
          <w:tcPr>
            <w:tcW w:w="2083"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834" w:type="dxa"/>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kern w:val="2"/>
                <w:sz w:val="18"/>
                <w:szCs w:val="18"/>
              </w:rPr>
            </w:pPr>
            <w:r>
              <w:rPr>
                <w:rFonts w:ascii="Calibri" w:hAnsi="Calibri" w:cs="Calibri"/>
                <w:kern w:val="2"/>
                <w:sz w:val="18"/>
                <w:szCs w:val="18"/>
              </w:rPr>
              <w:t>组</w:t>
            </w:r>
          </w:p>
        </w:tc>
        <w:tc>
          <w:tcPr>
            <w:tcW w:w="4505" w:type="dxa"/>
            <w:tcBorders>
              <w:right w:val="single" w:color="000000" w:sz="12" w:space="0"/>
            </w:tcBorders>
            <w:shd w:val="clear" w:color="auto" w:fill="auto"/>
          </w:tcPr>
          <w:p>
            <w:pPr>
              <w:pStyle w:val="57"/>
              <w:spacing w:line="310" w:lineRule="exact"/>
              <w:ind w:right="-105" w:firstLine="0" w:firstLineChars="0"/>
              <w:rPr>
                <w:rFonts w:ascii="Calibri" w:hAnsi="Calibri" w:cs="Calibri"/>
                <w:sz w:val="18"/>
                <w:szCs w:val="18"/>
              </w:rPr>
            </w:pPr>
            <w:r>
              <w:rPr>
                <w:rFonts w:ascii="Calibri" w:hAnsi="Calibri" w:cs="Calibri"/>
                <w:sz w:val="18"/>
                <w:szCs w:val="18"/>
              </w:rPr>
              <w:t>电池型号14500和18650，含1组备用电池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4</w:t>
            </w:r>
          </w:p>
        </w:tc>
        <w:tc>
          <w:tcPr>
            <w:tcW w:w="2083"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14500电池充电器</w:t>
            </w:r>
          </w:p>
        </w:tc>
        <w:tc>
          <w:tcPr>
            <w:tcW w:w="834" w:type="dxa"/>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1/6</w:t>
            </w:r>
          </w:p>
        </w:tc>
        <w:tc>
          <w:tcPr>
            <w:tcW w:w="976" w:type="dxa"/>
            <w:shd w:val="clear" w:color="auto" w:fill="auto"/>
            <w:vAlign w:val="center"/>
          </w:tcPr>
          <w:p>
            <w:pPr>
              <w:snapToGrid w:val="0"/>
              <w:ind w:firstLine="0"/>
              <w:jc w:val="center"/>
              <w:rPr>
                <w:rFonts w:ascii="Calibri" w:hAnsi="Calibri" w:cs="Calibri"/>
                <w:kern w:val="2"/>
                <w:sz w:val="18"/>
                <w:szCs w:val="18"/>
              </w:rPr>
            </w:pPr>
            <w:r>
              <w:rPr>
                <w:rFonts w:ascii="Calibri" w:hAnsi="Calibri" w:cs="Calibri"/>
                <w:kern w:val="2"/>
                <w:sz w:val="18"/>
                <w:szCs w:val="18"/>
              </w:rPr>
              <w:t>个</w:t>
            </w:r>
          </w:p>
        </w:tc>
        <w:tc>
          <w:tcPr>
            <w:tcW w:w="4505" w:type="dxa"/>
            <w:tcBorders>
              <w:right w:val="single" w:color="000000" w:sz="12" w:space="0"/>
            </w:tcBorders>
            <w:shd w:val="clear" w:color="auto" w:fill="auto"/>
          </w:tcPr>
          <w:p>
            <w:pPr>
              <w:pStyle w:val="57"/>
              <w:spacing w:line="310" w:lineRule="exact"/>
              <w:ind w:right="-105" w:firstLine="0" w:firstLineChars="0"/>
              <w:rPr>
                <w:rFonts w:ascii="Calibri" w:hAnsi="Calibri" w:cs="Calibri"/>
                <w:sz w:val="18"/>
                <w:szCs w:val="18"/>
              </w:rPr>
            </w:pPr>
            <w:r>
              <w:rPr>
                <w:rFonts w:ascii="Calibri" w:hAnsi="Calibri" w:cs="Calibri"/>
                <w:sz w:val="18"/>
                <w:szCs w:val="18"/>
              </w:rPr>
              <w:t>用于头盔套电池充电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5</w:t>
            </w:r>
          </w:p>
        </w:tc>
        <w:tc>
          <w:tcPr>
            <w:tcW w:w="2083"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18650电池充电器</w:t>
            </w:r>
          </w:p>
        </w:tc>
        <w:tc>
          <w:tcPr>
            <w:tcW w:w="834" w:type="dxa"/>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1/4</w:t>
            </w:r>
          </w:p>
        </w:tc>
        <w:tc>
          <w:tcPr>
            <w:tcW w:w="976" w:type="dxa"/>
            <w:shd w:val="clear" w:color="auto" w:fill="auto"/>
            <w:vAlign w:val="center"/>
          </w:tcPr>
          <w:p>
            <w:pPr>
              <w:snapToGrid w:val="0"/>
              <w:ind w:firstLine="0"/>
              <w:jc w:val="center"/>
              <w:rPr>
                <w:rFonts w:ascii="Calibri" w:hAnsi="Calibri" w:cs="Calibri"/>
                <w:kern w:val="2"/>
                <w:sz w:val="18"/>
                <w:szCs w:val="18"/>
              </w:rPr>
            </w:pPr>
            <w:r>
              <w:rPr>
                <w:rFonts w:ascii="Calibri" w:hAnsi="Calibri" w:cs="Calibri"/>
                <w:kern w:val="2"/>
                <w:sz w:val="18"/>
                <w:szCs w:val="18"/>
              </w:rPr>
              <w:t>个</w:t>
            </w:r>
          </w:p>
        </w:tc>
        <w:tc>
          <w:tcPr>
            <w:tcW w:w="4505" w:type="dxa"/>
            <w:tcBorders>
              <w:right w:val="single" w:color="000000" w:sz="12" w:space="0"/>
            </w:tcBorders>
            <w:shd w:val="clear" w:color="auto" w:fill="auto"/>
          </w:tcPr>
          <w:p>
            <w:pPr>
              <w:pStyle w:val="57"/>
              <w:spacing w:line="310" w:lineRule="exact"/>
              <w:ind w:right="-105" w:firstLine="0" w:firstLineChars="0"/>
              <w:rPr>
                <w:rFonts w:ascii="Calibri" w:hAnsi="Calibri" w:cs="Calibri"/>
                <w:sz w:val="18"/>
                <w:szCs w:val="18"/>
              </w:rPr>
            </w:pPr>
            <w:r>
              <w:rPr>
                <w:rFonts w:ascii="Calibri" w:hAnsi="Calibri" w:cs="Calibri"/>
                <w:sz w:val="18"/>
                <w:szCs w:val="18"/>
              </w:rPr>
              <w:t>用于单兵背带电池充电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6</w:t>
            </w:r>
          </w:p>
        </w:tc>
        <w:tc>
          <w:tcPr>
            <w:tcW w:w="2083"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火工品</w:t>
            </w:r>
          </w:p>
        </w:tc>
        <w:tc>
          <w:tcPr>
            <w:tcW w:w="834" w:type="dxa"/>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kern w:val="2"/>
                <w:sz w:val="18"/>
                <w:szCs w:val="18"/>
              </w:rPr>
            </w:pPr>
            <w:r>
              <w:rPr>
                <w:rFonts w:ascii="Calibri" w:hAnsi="Calibri" w:cs="Calibri"/>
                <w:kern w:val="2"/>
                <w:sz w:val="18"/>
                <w:szCs w:val="18"/>
              </w:rPr>
              <w:t>枚</w:t>
            </w:r>
          </w:p>
        </w:tc>
        <w:tc>
          <w:tcPr>
            <w:tcW w:w="4505" w:type="dxa"/>
            <w:tcBorders>
              <w:right w:val="single" w:color="000000" w:sz="12" w:space="0"/>
            </w:tcBorders>
            <w:shd w:val="clear" w:color="auto" w:fill="auto"/>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含红、蓝各1枚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7</w:t>
            </w:r>
          </w:p>
        </w:tc>
        <w:tc>
          <w:tcPr>
            <w:tcW w:w="2083"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hint="eastAsia" w:ascii="Calibri" w:cs="Calibri"/>
                <w:sz w:val="18"/>
                <w:szCs w:val="18"/>
                <w:lang w:eastAsia="zh-CN"/>
              </w:rPr>
              <w:t>单兵装具</w:t>
            </w:r>
            <w:r>
              <w:rPr>
                <w:rFonts w:ascii="Calibri" w:hAnsi="Calibri" w:cs="Calibri"/>
                <w:sz w:val="18"/>
                <w:szCs w:val="18"/>
              </w:rPr>
              <w:t>包装箱</w:t>
            </w:r>
          </w:p>
        </w:tc>
        <w:tc>
          <w:tcPr>
            <w:tcW w:w="834" w:type="dxa"/>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kern w:val="2"/>
                <w:sz w:val="18"/>
                <w:szCs w:val="18"/>
              </w:rPr>
            </w:pPr>
            <w:r>
              <w:rPr>
                <w:rFonts w:ascii="Calibri" w:hAnsi="Calibri" w:cs="Calibri"/>
                <w:kern w:val="2"/>
                <w:sz w:val="18"/>
                <w:szCs w:val="18"/>
              </w:rPr>
              <w:t>个</w:t>
            </w:r>
          </w:p>
        </w:tc>
        <w:tc>
          <w:tcPr>
            <w:tcW w:w="4505" w:type="dxa"/>
            <w:tcBorders>
              <w:right w:val="single" w:color="000000" w:sz="12" w:space="0"/>
            </w:tcBorders>
            <w:shd w:val="clear" w:color="auto" w:fill="auto"/>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8</w:t>
            </w:r>
          </w:p>
        </w:tc>
        <w:tc>
          <w:tcPr>
            <w:tcW w:w="2083"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运输包装箱</w:t>
            </w:r>
          </w:p>
        </w:tc>
        <w:tc>
          <w:tcPr>
            <w:tcW w:w="834" w:type="dxa"/>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kern w:val="2"/>
                <w:sz w:val="18"/>
                <w:szCs w:val="18"/>
              </w:rPr>
            </w:pPr>
            <w:r>
              <w:rPr>
                <w:rFonts w:ascii="Calibri" w:hAnsi="Calibri" w:cs="Calibri"/>
                <w:kern w:val="2"/>
                <w:sz w:val="18"/>
                <w:szCs w:val="18"/>
              </w:rPr>
              <w:t>个</w:t>
            </w:r>
          </w:p>
        </w:tc>
        <w:tc>
          <w:tcPr>
            <w:tcW w:w="4505" w:type="dxa"/>
            <w:tcBorders>
              <w:right w:val="single" w:color="000000" w:sz="12" w:space="0"/>
            </w:tcBorders>
            <w:shd w:val="clear" w:color="auto" w:fill="auto"/>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9</w:t>
            </w:r>
          </w:p>
        </w:tc>
        <w:tc>
          <w:tcPr>
            <w:tcW w:w="2083"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hint="eastAsia" w:ascii="Calibri" w:cs="Calibri"/>
                <w:sz w:val="18"/>
                <w:szCs w:val="18"/>
                <w:lang w:eastAsia="zh-CN"/>
              </w:rPr>
              <w:t>单兵装具</w:t>
            </w:r>
            <w:r>
              <w:rPr>
                <w:rFonts w:ascii="Calibri" w:hAnsi="Calibri" w:cs="Calibri"/>
                <w:sz w:val="18"/>
                <w:szCs w:val="18"/>
              </w:rPr>
              <w:t>资料</w:t>
            </w:r>
          </w:p>
        </w:tc>
        <w:tc>
          <w:tcPr>
            <w:tcW w:w="834" w:type="dxa"/>
            <w:tcBorders>
              <w:bottom w:val="single" w:color="000000" w:sz="12" w:space="0"/>
            </w:tcBorders>
            <w:shd w:val="clear" w:color="auto" w:fill="auto"/>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kern w:val="2"/>
                <w:sz w:val="18"/>
                <w:szCs w:val="18"/>
              </w:rPr>
            </w:pPr>
            <w:r>
              <w:rPr>
                <w:rFonts w:ascii="Calibri" w:hAnsi="Calibri" w:cs="Calibri"/>
                <w:kern w:val="2"/>
                <w:sz w:val="18"/>
                <w:szCs w:val="18"/>
              </w:rPr>
              <w:t>套</w:t>
            </w:r>
          </w:p>
        </w:tc>
        <w:tc>
          <w:tcPr>
            <w:tcW w:w="4505" w:type="dxa"/>
            <w:tcBorders>
              <w:bottom w:val="single" w:color="000000" w:sz="12" w:space="0"/>
              <w:right w:val="single" w:color="000000" w:sz="12" w:space="0"/>
            </w:tcBorders>
            <w:shd w:val="clear" w:color="auto" w:fill="auto"/>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954DB"/>
    <w:multiLevelType w:val="singleLevel"/>
    <w:tmpl w:val="814954DB"/>
    <w:lvl w:ilvl="0" w:tentative="0">
      <w:start w:val="1"/>
      <w:numFmt w:val="lowerLetter"/>
      <w:lvlText w:val="%1."/>
      <w:lvlJc w:val="left"/>
      <w:pPr>
        <w:ind w:left="425" w:hanging="425"/>
      </w:pPr>
      <w:rPr>
        <w:rFonts w:hint="default"/>
      </w:rPr>
    </w:lvl>
  </w:abstractNum>
  <w:abstractNum w:abstractNumId="1">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A5B6C179"/>
    <w:multiLevelType w:val="singleLevel"/>
    <w:tmpl w:val="A5B6C179"/>
    <w:lvl w:ilvl="0" w:tentative="0">
      <w:start w:val="1"/>
      <w:numFmt w:val="lowerLetter"/>
      <w:lvlText w:val="%1."/>
      <w:lvlJc w:val="left"/>
      <w:pPr>
        <w:ind w:left="425" w:hanging="425"/>
      </w:pPr>
      <w:rPr>
        <w:rFonts w:hint="default"/>
      </w:rPr>
    </w:lvl>
  </w:abstractNum>
  <w:abstractNum w:abstractNumId="3">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4">
    <w:nsid w:val="E33040CC"/>
    <w:multiLevelType w:val="singleLevel"/>
    <w:tmpl w:val="E33040CC"/>
    <w:lvl w:ilvl="0" w:tentative="0">
      <w:start w:val="1"/>
      <w:numFmt w:val="lowerLetter"/>
      <w:lvlText w:val="%1."/>
      <w:lvlJc w:val="left"/>
      <w:pPr>
        <w:ind w:left="425" w:hanging="425"/>
      </w:pPr>
      <w:rPr>
        <w:rFonts w:hint="default"/>
      </w:rPr>
    </w:lvl>
  </w:abstractNum>
  <w:abstractNum w:abstractNumId="5">
    <w:nsid w:val="FC2DFBAB"/>
    <w:multiLevelType w:val="singleLevel"/>
    <w:tmpl w:val="FC2DFBAB"/>
    <w:lvl w:ilvl="0" w:tentative="0">
      <w:start w:val="1"/>
      <w:numFmt w:val="lowerLetter"/>
      <w:lvlText w:val="%1."/>
      <w:lvlJc w:val="left"/>
      <w:pPr>
        <w:ind w:left="425" w:hanging="425"/>
      </w:pPr>
      <w:rPr>
        <w:rFonts w:hint="default"/>
      </w:rPr>
    </w:lvl>
  </w:abstractNum>
  <w:abstractNum w:abstractNumId="6">
    <w:nsid w:val="0DE66CF4"/>
    <w:multiLevelType w:val="singleLevel"/>
    <w:tmpl w:val="0DE66CF4"/>
    <w:lvl w:ilvl="0" w:tentative="0">
      <w:start w:val="1"/>
      <w:numFmt w:val="lowerLetter"/>
      <w:lvlText w:val="%1)"/>
      <w:lvlJc w:val="left"/>
      <w:pPr>
        <w:tabs>
          <w:tab w:val="left" w:pos="800"/>
        </w:tabs>
        <w:ind w:left="800" w:hanging="400"/>
      </w:pPr>
    </w:lvl>
  </w:abstractNum>
  <w:abstractNum w:abstractNumId="7">
    <w:nsid w:val="156DD5A3"/>
    <w:multiLevelType w:val="singleLevel"/>
    <w:tmpl w:val="156DD5A3"/>
    <w:lvl w:ilvl="0" w:tentative="0">
      <w:start w:val="1"/>
      <w:numFmt w:val="lowerLetter"/>
      <w:lvlText w:val="%1."/>
      <w:lvlJc w:val="left"/>
      <w:pPr>
        <w:ind w:left="425" w:hanging="425"/>
      </w:pPr>
      <w:rPr>
        <w:rFonts w:hint="default"/>
      </w:rPr>
    </w:lvl>
  </w:abstractNum>
  <w:abstractNum w:abstractNumId="8">
    <w:nsid w:val="17AC427D"/>
    <w:multiLevelType w:val="singleLevel"/>
    <w:tmpl w:val="17AC427D"/>
    <w:lvl w:ilvl="0" w:tentative="0">
      <w:start w:val="1"/>
      <w:numFmt w:val="lowerLetter"/>
      <w:lvlText w:val="%1."/>
      <w:lvlJc w:val="left"/>
      <w:pPr>
        <w:ind w:left="425" w:hanging="425"/>
      </w:pPr>
      <w:rPr>
        <w:rFonts w:hint="default"/>
      </w:rPr>
    </w:lvl>
  </w:abstractNum>
  <w:abstractNum w:abstractNumId="9">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10">
    <w:nsid w:val="1DD668B5"/>
    <w:multiLevelType w:val="singleLevel"/>
    <w:tmpl w:val="1DD668B5"/>
    <w:lvl w:ilvl="0" w:tentative="0">
      <w:start w:val="1"/>
      <w:numFmt w:val="lowerLetter"/>
      <w:lvlText w:val="%1."/>
      <w:lvlJc w:val="left"/>
      <w:pPr>
        <w:ind w:left="425" w:hanging="425"/>
      </w:pPr>
      <w:rPr>
        <w:rFonts w:hint="default"/>
      </w:rPr>
    </w:lvl>
  </w:abstractNum>
  <w:abstractNum w:abstractNumId="11">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25A0E405"/>
    <w:multiLevelType w:val="singleLevel"/>
    <w:tmpl w:val="25A0E405"/>
    <w:lvl w:ilvl="0" w:tentative="0">
      <w:start w:val="1"/>
      <w:numFmt w:val="lowerLetter"/>
      <w:lvlText w:val="%1."/>
      <w:lvlJc w:val="left"/>
      <w:pPr>
        <w:ind w:left="425" w:hanging="425"/>
      </w:pPr>
      <w:rPr>
        <w:rFonts w:hint="default"/>
      </w:rPr>
    </w:lvl>
  </w:abstractNum>
  <w:abstractNum w:abstractNumId="13">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4">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5">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6">
    <w:nsid w:val="416AFCD3"/>
    <w:multiLevelType w:val="singleLevel"/>
    <w:tmpl w:val="416AFCD3"/>
    <w:lvl w:ilvl="0" w:tentative="0">
      <w:start w:val="1"/>
      <w:numFmt w:val="bullet"/>
      <w:lvlText w:val=""/>
      <w:lvlJc w:val="left"/>
      <w:pPr>
        <w:ind w:left="420" w:hanging="420"/>
      </w:pPr>
      <w:rPr>
        <w:rFonts w:hint="default" w:ascii="Wingdings" w:hAnsi="Wingdings"/>
      </w:rPr>
    </w:lvl>
  </w:abstractNum>
  <w:abstractNum w:abstractNumId="17">
    <w:nsid w:val="42BC757D"/>
    <w:multiLevelType w:val="singleLevel"/>
    <w:tmpl w:val="42BC757D"/>
    <w:lvl w:ilvl="0" w:tentative="0">
      <w:start w:val="1"/>
      <w:numFmt w:val="lowerLetter"/>
      <w:lvlText w:val="%1."/>
      <w:lvlJc w:val="left"/>
      <w:pPr>
        <w:ind w:left="425" w:hanging="425"/>
      </w:pPr>
      <w:rPr>
        <w:rFonts w:hint="default"/>
      </w:rPr>
    </w:lvl>
  </w:abstractNum>
  <w:abstractNum w:abstractNumId="18">
    <w:nsid w:val="4A541109"/>
    <w:multiLevelType w:val="singleLevel"/>
    <w:tmpl w:val="4A541109"/>
    <w:lvl w:ilvl="0" w:tentative="0">
      <w:start w:val="1"/>
      <w:numFmt w:val="lowerLetter"/>
      <w:lvlText w:val="%1."/>
      <w:lvlJc w:val="left"/>
      <w:pPr>
        <w:ind w:left="425" w:hanging="425"/>
      </w:pPr>
      <w:rPr>
        <w:rFonts w:hint="default"/>
      </w:rPr>
    </w:lvl>
  </w:abstractNum>
  <w:abstractNum w:abstractNumId="19">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1AB18B2"/>
    <w:multiLevelType w:val="singleLevel"/>
    <w:tmpl w:val="51AB18B2"/>
    <w:lvl w:ilvl="0" w:tentative="0">
      <w:start w:val="1"/>
      <w:numFmt w:val="bullet"/>
      <w:lvlText w:val=""/>
      <w:lvlJc w:val="left"/>
      <w:pPr>
        <w:ind w:left="420" w:hanging="420"/>
      </w:pPr>
      <w:rPr>
        <w:rFonts w:hint="default" w:ascii="Wingdings" w:hAnsi="Wingdings"/>
      </w:rPr>
    </w:lvl>
  </w:abstractNum>
  <w:abstractNum w:abstractNumId="21">
    <w:nsid w:val="52DAC1DB"/>
    <w:multiLevelType w:val="singleLevel"/>
    <w:tmpl w:val="52DAC1DB"/>
    <w:lvl w:ilvl="0" w:tentative="0">
      <w:start w:val="1"/>
      <w:numFmt w:val="lowerLetter"/>
      <w:lvlText w:val="%1."/>
      <w:lvlJc w:val="left"/>
      <w:pPr>
        <w:ind w:left="425" w:hanging="425"/>
      </w:pPr>
      <w:rPr>
        <w:rFonts w:hint="default"/>
      </w:rPr>
    </w:lvl>
  </w:abstractNum>
  <w:abstractNum w:abstractNumId="22">
    <w:nsid w:val="58CB3B72"/>
    <w:multiLevelType w:val="singleLevel"/>
    <w:tmpl w:val="58CB3B72"/>
    <w:lvl w:ilvl="0" w:tentative="0">
      <w:start w:val="1"/>
      <w:numFmt w:val="lowerLetter"/>
      <w:lvlText w:val="%1."/>
      <w:lvlJc w:val="left"/>
      <w:pPr>
        <w:ind w:left="425" w:hanging="425"/>
      </w:pPr>
      <w:rPr>
        <w:rFonts w:hint="default"/>
      </w:rPr>
    </w:lvl>
  </w:abstractNum>
  <w:abstractNum w:abstractNumId="23">
    <w:nsid w:val="74199994"/>
    <w:multiLevelType w:val="singleLevel"/>
    <w:tmpl w:val="74199994"/>
    <w:lvl w:ilvl="0" w:tentative="0">
      <w:start w:val="1"/>
      <w:numFmt w:val="lowerLetter"/>
      <w:lvlText w:val="%1."/>
      <w:lvlJc w:val="left"/>
      <w:pPr>
        <w:ind w:left="425" w:hanging="425"/>
      </w:pPr>
      <w:rPr>
        <w:rFonts w:hint="default"/>
      </w:rPr>
    </w:lvl>
  </w:abstractNum>
  <w:abstractNum w:abstractNumId="24">
    <w:nsid w:val="743B493D"/>
    <w:multiLevelType w:val="singleLevel"/>
    <w:tmpl w:val="743B493D"/>
    <w:lvl w:ilvl="0" w:tentative="0">
      <w:start w:val="1"/>
      <w:numFmt w:val="lowerLetter"/>
      <w:lvlText w:val="%1."/>
      <w:lvlJc w:val="left"/>
      <w:pPr>
        <w:ind w:left="425" w:hanging="425"/>
      </w:pPr>
      <w:rPr>
        <w:rFonts w:hint="default"/>
      </w:rPr>
    </w:lvl>
  </w:abstractNum>
  <w:abstractNum w:abstractNumId="25">
    <w:nsid w:val="7FAD571D"/>
    <w:multiLevelType w:val="singleLevel"/>
    <w:tmpl w:val="7FAD571D"/>
    <w:lvl w:ilvl="0" w:tentative="0">
      <w:start w:val="1"/>
      <w:numFmt w:val="lowerLetter"/>
      <w:lvlText w:val="%1)"/>
      <w:lvlJc w:val="left"/>
      <w:pPr>
        <w:tabs>
          <w:tab w:val="left" w:pos="800"/>
        </w:tabs>
        <w:ind w:left="800" w:hanging="400"/>
      </w:pPr>
    </w:lvl>
  </w:abstractNum>
  <w:num w:numId="1">
    <w:abstractNumId w:val="14"/>
  </w:num>
  <w:num w:numId="2">
    <w:abstractNumId w:val="3"/>
  </w:num>
  <w:num w:numId="3">
    <w:abstractNumId w:val="1"/>
  </w:num>
  <w:num w:numId="4">
    <w:abstractNumId w:val="13"/>
  </w:num>
  <w:num w:numId="5">
    <w:abstractNumId w:val="11"/>
  </w:num>
  <w:num w:numId="6">
    <w:abstractNumId w:val="15"/>
  </w:num>
  <w:num w:numId="7">
    <w:abstractNumId w:val="19"/>
  </w:num>
  <w:num w:numId="8">
    <w:abstractNumId w:val="10"/>
  </w:num>
  <w:num w:numId="9">
    <w:abstractNumId w:val="4"/>
  </w:num>
  <w:num w:numId="10">
    <w:abstractNumId w:val="24"/>
  </w:num>
  <w:num w:numId="11">
    <w:abstractNumId w:val="20"/>
  </w:num>
  <w:num w:numId="12">
    <w:abstractNumId w:val="12"/>
  </w:num>
  <w:num w:numId="13">
    <w:abstractNumId w:val="21"/>
  </w:num>
  <w:num w:numId="14">
    <w:abstractNumId w:val="18"/>
  </w:num>
  <w:num w:numId="15">
    <w:abstractNumId w:val="2"/>
  </w:num>
  <w:num w:numId="16">
    <w:abstractNumId w:val="5"/>
  </w:num>
  <w:num w:numId="17">
    <w:abstractNumId w:val="0"/>
  </w:num>
  <w:num w:numId="18">
    <w:abstractNumId w:val="25"/>
  </w:num>
  <w:num w:numId="19">
    <w:abstractNumId w:val="23"/>
  </w:num>
  <w:num w:numId="20">
    <w:abstractNumId w:val="17"/>
  </w:num>
  <w:num w:numId="21">
    <w:abstractNumId w:val="9"/>
  </w:num>
  <w:num w:numId="22">
    <w:abstractNumId w:val="8"/>
  </w:num>
  <w:num w:numId="23">
    <w:abstractNumId w:val="22"/>
  </w:num>
  <w:num w:numId="24">
    <w:abstractNumId w:val="6"/>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CA5F13"/>
    <w:rsid w:val="057B2792"/>
    <w:rsid w:val="06813710"/>
    <w:rsid w:val="09975BD2"/>
    <w:rsid w:val="0A6D1DCA"/>
    <w:rsid w:val="0B2521EE"/>
    <w:rsid w:val="0CB36566"/>
    <w:rsid w:val="0D070E08"/>
    <w:rsid w:val="0D7633A7"/>
    <w:rsid w:val="0F915954"/>
    <w:rsid w:val="11CD2746"/>
    <w:rsid w:val="12F75941"/>
    <w:rsid w:val="13E350F6"/>
    <w:rsid w:val="151C7E35"/>
    <w:rsid w:val="16564E4B"/>
    <w:rsid w:val="16B33102"/>
    <w:rsid w:val="19C8321E"/>
    <w:rsid w:val="1AA54D6C"/>
    <w:rsid w:val="1ACD6B3F"/>
    <w:rsid w:val="1AFD3D34"/>
    <w:rsid w:val="1B07030F"/>
    <w:rsid w:val="1B1E4D4B"/>
    <w:rsid w:val="1C0256CB"/>
    <w:rsid w:val="1D281E65"/>
    <w:rsid w:val="1DFE2872"/>
    <w:rsid w:val="1E356E8E"/>
    <w:rsid w:val="220B1CEC"/>
    <w:rsid w:val="239C0D78"/>
    <w:rsid w:val="24707020"/>
    <w:rsid w:val="25243186"/>
    <w:rsid w:val="252A344B"/>
    <w:rsid w:val="2558009C"/>
    <w:rsid w:val="25D965AC"/>
    <w:rsid w:val="2708422B"/>
    <w:rsid w:val="272122E0"/>
    <w:rsid w:val="28F251C5"/>
    <w:rsid w:val="2A3F5231"/>
    <w:rsid w:val="2C2836AF"/>
    <w:rsid w:val="2CB93993"/>
    <w:rsid w:val="2E49263F"/>
    <w:rsid w:val="2E847A59"/>
    <w:rsid w:val="2E8E53DD"/>
    <w:rsid w:val="2EE16950"/>
    <w:rsid w:val="2F255FE5"/>
    <w:rsid w:val="30273F6A"/>
    <w:rsid w:val="32E40B7F"/>
    <w:rsid w:val="333F6F36"/>
    <w:rsid w:val="33F345E5"/>
    <w:rsid w:val="341E5AB2"/>
    <w:rsid w:val="342F5D1C"/>
    <w:rsid w:val="37627664"/>
    <w:rsid w:val="383B7CB4"/>
    <w:rsid w:val="38B75A11"/>
    <w:rsid w:val="390C00F8"/>
    <w:rsid w:val="3A413490"/>
    <w:rsid w:val="3A4C68AE"/>
    <w:rsid w:val="3B47680D"/>
    <w:rsid w:val="3BA642E1"/>
    <w:rsid w:val="3E86131C"/>
    <w:rsid w:val="3F527411"/>
    <w:rsid w:val="405A5CC5"/>
    <w:rsid w:val="40D90483"/>
    <w:rsid w:val="413D0443"/>
    <w:rsid w:val="418052FE"/>
    <w:rsid w:val="43894962"/>
    <w:rsid w:val="47281DDD"/>
    <w:rsid w:val="47311E73"/>
    <w:rsid w:val="483D73F0"/>
    <w:rsid w:val="48445BE5"/>
    <w:rsid w:val="486E4ED7"/>
    <w:rsid w:val="4914116B"/>
    <w:rsid w:val="498B36EB"/>
    <w:rsid w:val="49C97313"/>
    <w:rsid w:val="4BC37020"/>
    <w:rsid w:val="4CE13019"/>
    <w:rsid w:val="4E646699"/>
    <w:rsid w:val="4F560BB2"/>
    <w:rsid w:val="4FBC6595"/>
    <w:rsid w:val="50A67B5E"/>
    <w:rsid w:val="51087BA5"/>
    <w:rsid w:val="51160E05"/>
    <w:rsid w:val="55763CAB"/>
    <w:rsid w:val="570B23E3"/>
    <w:rsid w:val="578935BC"/>
    <w:rsid w:val="57C51296"/>
    <w:rsid w:val="59895A2F"/>
    <w:rsid w:val="5AA26459"/>
    <w:rsid w:val="5BAB7B4F"/>
    <w:rsid w:val="5E5623E4"/>
    <w:rsid w:val="5E5F2FC3"/>
    <w:rsid w:val="6083723A"/>
    <w:rsid w:val="62033EB7"/>
    <w:rsid w:val="637449DE"/>
    <w:rsid w:val="6501186F"/>
    <w:rsid w:val="657C444D"/>
    <w:rsid w:val="66DB718F"/>
    <w:rsid w:val="67AB6895"/>
    <w:rsid w:val="68D921A8"/>
    <w:rsid w:val="6A7841D9"/>
    <w:rsid w:val="6A8054B1"/>
    <w:rsid w:val="6B6D0362"/>
    <w:rsid w:val="6B993D4E"/>
    <w:rsid w:val="6F625D9B"/>
    <w:rsid w:val="722534BC"/>
    <w:rsid w:val="72911FF8"/>
    <w:rsid w:val="73FD78A0"/>
    <w:rsid w:val="759C7433"/>
    <w:rsid w:val="759F35B5"/>
    <w:rsid w:val="76617148"/>
    <w:rsid w:val="775411A4"/>
    <w:rsid w:val="77A52EB0"/>
    <w:rsid w:val="78C90C7E"/>
    <w:rsid w:val="78DB34C7"/>
    <w:rsid w:val="798C1918"/>
    <w:rsid w:val="79F30046"/>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4"/>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3"/>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eastAsia="仿宋_GB2312"/>
      <w:sz w:val="28"/>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四级标题 Char"/>
    <w:link w:val="38"/>
    <w:qFormat/>
    <w:uiPriority w:val="0"/>
    <w:rPr>
      <w:rFonts w:eastAsia="黑体" w:asciiTheme="minorAscii" w:hAnsiTheme="minorAscii"/>
      <w:b/>
      <w:sz w:val="28"/>
    </w:rPr>
  </w:style>
  <w:style w:type="character" w:customStyle="1" w:styleId="44">
    <w:name w:val="jp二级标题 Char"/>
    <w:link w:val="35"/>
    <w:qFormat/>
    <w:uiPriority w:val="0"/>
    <w:rPr>
      <w:rFonts w:ascii="黑体" w:hAnsi="黑体" w:eastAsia="黑体"/>
      <w:b/>
      <w:sz w:val="36"/>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2020-07-26T07:22:38Z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